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F58AF" w14:textId="77777777" w:rsidR="000F1FEE" w:rsidRDefault="000F1FEE" w:rsidP="000F1FEE">
      <w:pPr>
        <w:autoSpaceDE w:val="0"/>
        <w:autoSpaceDN w:val="0"/>
        <w:adjustRightInd w:val="0"/>
        <w:spacing w:after="0" w:line="276" w:lineRule="auto"/>
        <w:jc w:val="center"/>
        <w:rPr>
          <w:rFonts w:asciiTheme="majorBidi" w:hAnsiTheme="majorBidi" w:cstheme="majorBidi"/>
          <w:b/>
          <w:bCs/>
          <w:lang w:val="tr-TR"/>
        </w:rPr>
      </w:pPr>
      <w:r w:rsidRPr="00C946C1">
        <w:rPr>
          <w:rFonts w:asciiTheme="majorBidi" w:hAnsiTheme="majorBidi" w:cstheme="majorBidi"/>
          <w:b/>
          <w:bCs/>
          <w:lang w:val="tr-TR"/>
        </w:rPr>
        <w:t>EL- KALKAŞANDÎ’NİN SUBHU’L A’ŞÂ  FÎ SINÂ’ATI’L-INŞÂ ESERINDE AZERBAYCAN ŞEHIRLERI</w:t>
      </w:r>
    </w:p>
    <w:p w14:paraId="03E9D71E" w14:textId="77777777" w:rsidR="000F1FEE" w:rsidRDefault="000F1FEE" w:rsidP="000F1FEE">
      <w:pPr>
        <w:spacing w:line="276" w:lineRule="auto"/>
        <w:jc w:val="center"/>
        <w:rPr>
          <w:rFonts w:asciiTheme="majorBidi" w:hAnsiTheme="majorBidi" w:cstheme="majorBidi"/>
          <w:b/>
          <w:bCs/>
          <w:sz w:val="20"/>
          <w:szCs w:val="20"/>
        </w:rPr>
      </w:pPr>
      <w:r w:rsidRPr="002C446C">
        <w:rPr>
          <w:rFonts w:asciiTheme="majorBidi" w:hAnsiTheme="majorBidi" w:cstheme="majorBidi"/>
          <w:b/>
          <w:bCs/>
          <w:sz w:val="20"/>
          <w:szCs w:val="20"/>
          <w:lang w:val="tr-TR"/>
        </w:rPr>
        <w:t>AZERBAIJANI CITIES IN AL-</w:t>
      </w:r>
      <w:r>
        <w:rPr>
          <w:rFonts w:asciiTheme="majorBidi" w:hAnsiTheme="majorBidi" w:cstheme="majorBidi"/>
          <w:b/>
          <w:bCs/>
          <w:sz w:val="20"/>
          <w:szCs w:val="20"/>
          <w:lang w:val="tr-TR"/>
        </w:rPr>
        <w:t>Q</w:t>
      </w:r>
      <w:r w:rsidRPr="002C446C">
        <w:rPr>
          <w:rFonts w:asciiTheme="majorBidi" w:hAnsiTheme="majorBidi" w:cstheme="majorBidi"/>
          <w:b/>
          <w:bCs/>
          <w:sz w:val="20"/>
          <w:szCs w:val="20"/>
          <w:lang w:val="tr-TR"/>
        </w:rPr>
        <w:t>AL</w:t>
      </w:r>
      <w:r>
        <w:rPr>
          <w:rFonts w:asciiTheme="majorBidi" w:hAnsiTheme="majorBidi" w:cstheme="majorBidi"/>
          <w:b/>
          <w:bCs/>
          <w:sz w:val="20"/>
          <w:szCs w:val="20"/>
          <w:lang w:val="tr-TR"/>
        </w:rPr>
        <w:t>Q</w:t>
      </w:r>
      <w:r w:rsidRPr="002C446C">
        <w:rPr>
          <w:rFonts w:asciiTheme="majorBidi" w:hAnsiTheme="majorBidi" w:cstheme="majorBidi"/>
          <w:b/>
          <w:bCs/>
          <w:sz w:val="20"/>
          <w:szCs w:val="20"/>
          <w:lang w:val="tr-TR"/>
        </w:rPr>
        <w:t xml:space="preserve">ASHANDÎ’S WORK </w:t>
      </w:r>
      <w:r w:rsidRPr="00F26677">
        <w:rPr>
          <w:rFonts w:asciiTheme="majorBidi" w:hAnsiTheme="majorBidi" w:cstheme="majorBidi"/>
          <w:b/>
          <w:bCs/>
          <w:sz w:val="20"/>
          <w:szCs w:val="20"/>
        </w:rPr>
        <w:t>ṢUBḤ AL-A‘SHĀ</w:t>
      </w:r>
    </w:p>
    <w:p w14:paraId="3CEE4D73" w14:textId="77777777" w:rsidR="000F1FEE" w:rsidRPr="002C446C" w:rsidRDefault="000F1FEE" w:rsidP="000F1FEE">
      <w:pPr>
        <w:spacing w:line="276" w:lineRule="auto"/>
        <w:jc w:val="center"/>
        <w:rPr>
          <w:rFonts w:asciiTheme="majorBidi" w:hAnsiTheme="majorBidi" w:cstheme="majorBidi"/>
          <w:b/>
          <w:bCs/>
          <w:sz w:val="20"/>
          <w:szCs w:val="20"/>
          <w:lang w:val="tr-TR"/>
        </w:rPr>
      </w:pPr>
      <w:r w:rsidRPr="002C446C">
        <w:rPr>
          <w:rFonts w:asciiTheme="majorBidi" w:hAnsiTheme="majorBidi" w:cstheme="majorBidi"/>
          <w:b/>
          <w:bCs/>
          <w:sz w:val="20"/>
          <w:szCs w:val="20"/>
          <w:lang w:val="tr-TR"/>
        </w:rPr>
        <w:t>FÎ SINÂ’ATI’L-INSHÂ</w:t>
      </w:r>
    </w:p>
    <w:p w14:paraId="1D1E0D6C" w14:textId="77777777" w:rsidR="000F1FEE" w:rsidRPr="00955D99" w:rsidRDefault="000F1FEE" w:rsidP="000F1FEE">
      <w:pPr>
        <w:autoSpaceDE w:val="0"/>
        <w:autoSpaceDN w:val="0"/>
        <w:adjustRightInd w:val="0"/>
        <w:spacing w:after="0" w:line="276" w:lineRule="auto"/>
        <w:jc w:val="right"/>
        <w:rPr>
          <w:rFonts w:asciiTheme="majorBidi" w:hAnsiTheme="majorBidi" w:cstheme="majorBidi"/>
          <w:b/>
          <w:bCs/>
          <w:sz w:val="20"/>
          <w:szCs w:val="20"/>
          <w:lang w:val="tr-TR"/>
        </w:rPr>
      </w:pPr>
      <w:r>
        <w:rPr>
          <w:rFonts w:asciiTheme="majorBidi" w:hAnsiTheme="majorBidi" w:cstheme="majorBidi"/>
          <w:sz w:val="20"/>
          <w:szCs w:val="20"/>
          <w:lang w:val="tr-TR"/>
        </w:rPr>
        <w:t xml:space="preserve">Könül </w:t>
      </w:r>
      <w:r w:rsidRPr="002C446C">
        <w:rPr>
          <w:rFonts w:asciiTheme="majorBidi" w:hAnsiTheme="majorBidi" w:cstheme="majorBidi"/>
          <w:sz w:val="20"/>
          <w:szCs w:val="20"/>
          <w:lang w:val="tr-TR"/>
        </w:rPr>
        <w:t xml:space="preserve">EYVAZOVA </w:t>
      </w:r>
      <w:r w:rsidRPr="002C446C">
        <w:rPr>
          <w:rStyle w:val="FootnoteReference"/>
          <w:rFonts w:asciiTheme="majorBidi" w:hAnsiTheme="majorBidi" w:cstheme="majorBidi"/>
          <w:sz w:val="20"/>
          <w:szCs w:val="20"/>
          <w:lang w:val="tr-TR"/>
        </w:rPr>
        <w:footnoteReference w:customMarkFollows="1" w:id="1"/>
        <w:sym w:font="Symbol" w:char="F02A"/>
      </w:r>
    </w:p>
    <w:p w14:paraId="24F59724" w14:textId="77777777" w:rsidR="000F1FEE" w:rsidRPr="00955D99" w:rsidRDefault="000F1FEE" w:rsidP="000F1FEE">
      <w:pPr>
        <w:autoSpaceDE w:val="0"/>
        <w:autoSpaceDN w:val="0"/>
        <w:adjustRightInd w:val="0"/>
        <w:spacing w:after="0" w:line="276" w:lineRule="auto"/>
        <w:jc w:val="center"/>
        <w:rPr>
          <w:rFonts w:asciiTheme="majorBidi" w:hAnsiTheme="majorBidi" w:cstheme="majorBidi"/>
          <w:b/>
          <w:bCs/>
          <w:sz w:val="20"/>
          <w:szCs w:val="20"/>
          <w:vertAlign w:val="superscript"/>
          <w:lang w:val="tr-TR"/>
        </w:rPr>
      </w:pPr>
      <w:r w:rsidRPr="00955D99">
        <w:rPr>
          <w:rFonts w:asciiTheme="majorBidi" w:hAnsiTheme="majorBidi" w:cstheme="majorBidi"/>
          <w:b/>
          <w:bCs/>
          <w:sz w:val="20"/>
          <w:szCs w:val="20"/>
          <w:lang w:val="tr-TR"/>
        </w:rPr>
        <w:t>Özet</w:t>
      </w:r>
    </w:p>
    <w:p w14:paraId="7CB40EAD" w14:textId="77777777" w:rsidR="000F1FEE" w:rsidRPr="002C446C" w:rsidRDefault="000F1FEE" w:rsidP="000F1FEE">
      <w:pPr>
        <w:autoSpaceDE w:val="0"/>
        <w:autoSpaceDN w:val="0"/>
        <w:adjustRightInd w:val="0"/>
        <w:spacing w:after="0" w:line="276" w:lineRule="auto"/>
        <w:jc w:val="both"/>
        <w:rPr>
          <w:rFonts w:asciiTheme="majorBidi" w:hAnsiTheme="majorBidi" w:cstheme="majorBidi"/>
          <w:sz w:val="20"/>
          <w:szCs w:val="20"/>
          <w:lang w:val="tr-TR"/>
        </w:rPr>
      </w:pPr>
      <w:r w:rsidRPr="002C446C">
        <w:rPr>
          <w:rFonts w:asciiTheme="majorBidi" w:hAnsiTheme="majorBidi" w:cstheme="majorBidi"/>
          <w:sz w:val="20"/>
          <w:szCs w:val="20"/>
          <w:lang w:val="tr-TR"/>
        </w:rPr>
        <w:t>Ahmed ibn Abbas el-Kalkaşandi (1355-1418), İslam medeniyeti ve ilim tarihinde parlak dönemlerden biri olarak kabul edilen Memluklar döneminde (1250-1518) yaşamış ve emek vermiş önemli alimlerden biridir. Edebiyat, Arap dili bilimleri, coğrafya, tarih, fıkıh, dini ilimler, doğal bilimler alanlarında uzmanlaşmış olan bu alim, yazı sanatına dair olan "</w:t>
      </w:r>
      <w:r w:rsidRPr="002C446C">
        <w:rPr>
          <w:rFonts w:asciiTheme="majorBidi" w:hAnsiTheme="majorBidi" w:cstheme="majorBidi"/>
          <w:b/>
          <w:bCs/>
          <w:sz w:val="20"/>
          <w:szCs w:val="20"/>
          <w:lang w:val="tr-TR"/>
        </w:rPr>
        <w:t xml:space="preserve"> </w:t>
      </w:r>
      <w:r w:rsidRPr="002C446C">
        <w:rPr>
          <w:rFonts w:asciiTheme="majorBidi" w:hAnsiTheme="majorBidi" w:cstheme="majorBidi"/>
          <w:sz w:val="20"/>
          <w:szCs w:val="20"/>
          <w:lang w:val="tr-TR"/>
        </w:rPr>
        <w:t>Subhu’l a’şâ  fî sınâ’atı’l-ınşâ " eseriyle tanınır. Divan kâtiplerine rehberlik amacıyla yazılmış bu 14 ciltlik eser, Memluklar döneminde yazılan en büyük üç ansiklopedik eserden biri olarak kabul edilir. Eser, Arap yazısı, dönemin yazı teknikleri - kağıt, kalem, mürekkep vb. - hakkında bilgi vermenin yanı sıra, coğrafya, tarih, edebiyat, belagat gibi önemli konuları içermektedir. Yazar, eserinde önceki büyük alimlerin eserlerine atıfta bulunarak Mısır, Suriye ve Memluk Devleti'nin siyasi ve idari bağlantıları olan bölgeler ve ülkeler hakkında da bilgi vermiştir. Bu bölgelerden biri de Azerbaycan'dır.</w:t>
      </w:r>
    </w:p>
    <w:p w14:paraId="22A3F172" w14:textId="77777777" w:rsidR="000F1FEE" w:rsidRPr="002C446C" w:rsidRDefault="000F1FEE" w:rsidP="000F1FEE">
      <w:pPr>
        <w:autoSpaceDE w:val="0"/>
        <w:autoSpaceDN w:val="0"/>
        <w:adjustRightInd w:val="0"/>
        <w:spacing w:after="0" w:line="276" w:lineRule="auto"/>
        <w:jc w:val="both"/>
        <w:rPr>
          <w:rFonts w:asciiTheme="majorBidi" w:hAnsiTheme="majorBidi" w:cstheme="majorBidi"/>
          <w:sz w:val="20"/>
          <w:szCs w:val="20"/>
          <w:lang w:val="tr-TR"/>
        </w:rPr>
      </w:pPr>
      <w:r w:rsidRPr="002C446C">
        <w:rPr>
          <w:rFonts w:asciiTheme="majorBidi" w:hAnsiTheme="majorBidi" w:cstheme="majorBidi"/>
          <w:sz w:val="20"/>
          <w:szCs w:val="20"/>
          <w:lang w:val="tr-TR"/>
        </w:rPr>
        <w:t>Adından da anlaşılacağı gibi, "El-Kalkaşandinin "Subhu’l a’şâ  fî sınâ’atı’l-ınşâ" eserinde Azerbaycan şehirleri" başlıklı makale, "Subh el-Aşa fi sinaat el-İnşa" eserinde bahsi geçen Azerbaycan şehirleri hakkında bilgi vermektedir.</w:t>
      </w:r>
    </w:p>
    <w:p w14:paraId="067259CA" w14:textId="77777777" w:rsidR="000F1FEE" w:rsidRPr="002C446C" w:rsidRDefault="000F1FEE" w:rsidP="000F1FEE">
      <w:pPr>
        <w:autoSpaceDE w:val="0"/>
        <w:autoSpaceDN w:val="0"/>
        <w:adjustRightInd w:val="0"/>
        <w:spacing w:after="0" w:line="276" w:lineRule="auto"/>
        <w:jc w:val="both"/>
        <w:rPr>
          <w:rFonts w:asciiTheme="majorBidi" w:hAnsiTheme="majorBidi" w:cstheme="majorBidi"/>
          <w:sz w:val="20"/>
          <w:szCs w:val="20"/>
          <w:lang w:val="tr-TR"/>
        </w:rPr>
      </w:pPr>
      <w:r w:rsidRPr="002C446C">
        <w:rPr>
          <w:rFonts w:asciiTheme="majorBidi" w:hAnsiTheme="majorBidi" w:cstheme="majorBidi"/>
          <w:sz w:val="20"/>
          <w:szCs w:val="20"/>
          <w:lang w:val="tr-TR"/>
        </w:rPr>
        <w:t xml:space="preserve">Bilindiği gibi, Ortaçağ Arap dünyasında Azerbaycan'ın tarihi, edebiyatı, coğrafi bölgeleri, kültürel, bilimsel ve edebi mirası üzerine çalışmalarda Arapça kaynakların rolü önemlidir. Biz bu bilgileri özellikle et-Taberi (838-923) "Tarih er-Rüsul ve'l-Müluk", el-Belazuri (V: h. 279 - ö. 892) "Futuh el-Buldan", el-Kufi (ö. 926) "Kitab el-Futuh", el-Yakubi (ö. 897) "Tarih", el-İstahri (850—934) “El- mesalik val-mamalik”, İbn el-Esir (1160-1233) "El-Kamil fit-Tarih" ve </w:t>
      </w:r>
      <w:r w:rsidRPr="00C946C1">
        <w:rPr>
          <w:rFonts w:asciiTheme="majorBidi" w:hAnsiTheme="majorBidi" w:cstheme="majorBidi"/>
          <w:sz w:val="20"/>
          <w:szCs w:val="20"/>
          <w:lang w:val="tr-TR"/>
        </w:rPr>
        <w:t>diğer</w:t>
      </w:r>
      <w:r w:rsidRPr="002C446C">
        <w:rPr>
          <w:rFonts w:asciiTheme="majorBidi" w:hAnsiTheme="majorBidi" w:cstheme="majorBidi"/>
          <w:sz w:val="20"/>
          <w:szCs w:val="20"/>
          <w:lang w:val="tr-TR"/>
        </w:rPr>
        <w:t xml:space="preserve"> tarihçilerin eserlerinde buluruz. Bu bağlamda, </w:t>
      </w:r>
      <w:r>
        <w:rPr>
          <w:rFonts w:asciiTheme="majorBidi" w:hAnsiTheme="majorBidi" w:cstheme="majorBidi"/>
          <w:sz w:val="20"/>
          <w:szCs w:val="20"/>
          <w:lang w:val="tr-TR"/>
        </w:rPr>
        <w:t>e</w:t>
      </w:r>
      <w:r w:rsidRPr="002C446C">
        <w:rPr>
          <w:rFonts w:asciiTheme="majorBidi" w:hAnsiTheme="majorBidi" w:cstheme="majorBidi"/>
          <w:sz w:val="20"/>
          <w:szCs w:val="20"/>
          <w:lang w:val="tr-TR"/>
        </w:rPr>
        <w:t>l-Kalkaşandinin "Subh el-a</w:t>
      </w:r>
      <w:r w:rsidRPr="002C446C">
        <w:rPr>
          <w:rFonts w:asciiTheme="majorBidi" w:hAnsiTheme="majorBidi" w:cstheme="majorBidi"/>
          <w:sz w:val="20"/>
          <w:szCs w:val="20"/>
          <w:lang w:val="tr-TR" w:bidi="ar-EG"/>
        </w:rPr>
        <w:t>’</w:t>
      </w:r>
      <w:r w:rsidRPr="002C446C">
        <w:rPr>
          <w:rFonts w:asciiTheme="majorBidi" w:hAnsiTheme="majorBidi" w:cstheme="majorBidi"/>
          <w:sz w:val="20"/>
          <w:szCs w:val="20"/>
          <w:lang w:val="tr-TR"/>
        </w:rPr>
        <w:t>şa" eserinin Azerbaycan tarihini ve coğrafyasını öğrenmek için önemli bir kaynak olduğunu düşünerek, makaleyi bu konuya adadık.</w:t>
      </w:r>
    </w:p>
    <w:p w14:paraId="6BEB56C6" w14:textId="77777777" w:rsidR="000F1FEE" w:rsidRPr="002C446C" w:rsidRDefault="000F1FEE" w:rsidP="000F1FEE">
      <w:pPr>
        <w:autoSpaceDE w:val="0"/>
        <w:autoSpaceDN w:val="0"/>
        <w:adjustRightInd w:val="0"/>
        <w:spacing w:after="0" w:line="276" w:lineRule="auto"/>
        <w:jc w:val="both"/>
        <w:rPr>
          <w:rFonts w:asciiTheme="majorBidi" w:hAnsiTheme="majorBidi" w:cstheme="majorBidi"/>
          <w:sz w:val="20"/>
          <w:szCs w:val="20"/>
          <w:lang w:val="tr-TR"/>
        </w:rPr>
      </w:pPr>
      <w:r w:rsidRPr="002C446C">
        <w:rPr>
          <w:rFonts w:asciiTheme="majorBidi" w:hAnsiTheme="majorBidi" w:cstheme="majorBidi"/>
          <w:sz w:val="20"/>
          <w:szCs w:val="20"/>
          <w:lang w:val="tr-TR"/>
        </w:rPr>
        <w:t>Makalede "Subhu’l-Aşa" eseri ana kaynak olarak alınarak, o dönemin idari bölgelerine dayanarak Azerbaycan şehirleri hakkında coğrafi tasvir ve bilgiler verilmiştir.</w:t>
      </w:r>
    </w:p>
    <w:p w14:paraId="3E6CD334" w14:textId="77777777" w:rsidR="000F1FEE" w:rsidRDefault="000F1FEE" w:rsidP="000F1FEE">
      <w:pPr>
        <w:spacing w:line="276" w:lineRule="auto"/>
        <w:rPr>
          <w:rFonts w:asciiTheme="majorBidi" w:hAnsiTheme="majorBidi" w:cstheme="majorBidi"/>
          <w:sz w:val="20"/>
          <w:szCs w:val="20"/>
          <w:lang w:val="tr-TR"/>
        </w:rPr>
      </w:pPr>
      <w:r w:rsidRPr="002C446C">
        <w:rPr>
          <w:rFonts w:asciiTheme="majorBidi" w:hAnsiTheme="majorBidi" w:cstheme="majorBidi"/>
          <w:b/>
          <w:bCs/>
          <w:sz w:val="20"/>
          <w:szCs w:val="20"/>
          <w:lang w:val="tr-TR"/>
        </w:rPr>
        <w:t>Anahtar kelımeler</w:t>
      </w:r>
      <w:r w:rsidRPr="002C446C">
        <w:rPr>
          <w:rFonts w:asciiTheme="majorBidi" w:hAnsiTheme="majorBidi" w:cstheme="majorBidi"/>
          <w:sz w:val="20"/>
          <w:szCs w:val="20"/>
          <w:lang w:val="tr-TR"/>
        </w:rPr>
        <w:t>: el-Kalkaşandi, Subhu</w:t>
      </w:r>
      <w:r w:rsidRPr="002C446C">
        <w:rPr>
          <w:rFonts w:asciiTheme="majorBidi" w:hAnsiTheme="majorBidi" w:cstheme="majorBidi"/>
          <w:sz w:val="20"/>
          <w:szCs w:val="20"/>
          <w:lang w:val="tr-TR" w:bidi="ar-EG"/>
        </w:rPr>
        <w:t>’l</w:t>
      </w:r>
      <w:r w:rsidRPr="002C446C">
        <w:rPr>
          <w:rFonts w:asciiTheme="majorBidi" w:hAnsiTheme="majorBidi" w:cstheme="majorBidi"/>
          <w:sz w:val="20"/>
          <w:szCs w:val="20"/>
          <w:lang w:val="tr-TR"/>
        </w:rPr>
        <w:t>-Aşa, Azerbaycan, tarih, şehirler.</w:t>
      </w:r>
    </w:p>
    <w:p w14:paraId="6FEF53AB" w14:textId="77777777" w:rsidR="000F1FEE" w:rsidRPr="002C446C" w:rsidRDefault="000F1FEE" w:rsidP="000F1FEE">
      <w:pPr>
        <w:spacing w:line="276" w:lineRule="auto"/>
        <w:jc w:val="center"/>
        <w:rPr>
          <w:rFonts w:asciiTheme="majorBidi" w:hAnsiTheme="majorBidi" w:cstheme="majorBidi"/>
          <w:b/>
          <w:bCs/>
          <w:sz w:val="20"/>
          <w:szCs w:val="20"/>
          <w:lang w:val="tr-TR"/>
        </w:rPr>
      </w:pPr>
      <w:r w:rsidRPr="002C446C">
        <w:rPr>
          <w:rFonts w:asciiTheme="majorBidi" w:hAnsiTheme="majorBidi" w:cstheme="majorBidi"/>
          <w:b/>
          <w:bCs/>
          <w:sz w:val="20"/>
          <w:szCs w:val="20"/>
          <w:lang w:val="tr-TR"/>
        </w:rPr>
        <w:t>AZERBAIJANI CITIES IN AL-</w:t>
      </w:r>
      <w:r>
        <w:rPr>
          <w:rFonts w:asciiTheme="majorBidi" w:hAnsiTheme="majorBidi" w:cstheme="majorBidi"/>
          <w:b/>
          <w:bCs/>
          <w:sz w:val="20"/>
          <w:szCs w:val="20"/>
          <w:lang w:val="tr-TR"/>
        </w:rPr>
        <w:t>Q</w:t>
      </w:r>
      <w:r w:rsidRPr="002C446C">
        <w:rPr>
          <w:rFonts w:asciiTheme="majorBidi" w:hAnsiTheme="majorBidi" w:cstheme="majorBidi"/>
          <w:b/>
          <w:bCs/>
          <w:sz w:val="20"/>
          <w:szCs w:val="20"/>
          <w:lang w:val="tr-TR"/>
        </w:rPr>
        <w:t>AL</w:t>
      </w:r>
      <w:r>
        <w:rPr>
          <w:rFonts w:asciiTheme="majorBidi" w:hAnsiTheme="majorBidi" w:cstheme="majorBidi"/>
          <w:b/>
          <w:bCs/>
          <w:sz w:val="20"/>
          <w:szCs w:val="20"/>
          <w:lang w:val="tr-TR"/>
        </w:rPr>
        <w:t>Q</w:t>
      </w:r>
      <w:r w:rsidRPr="002C446C">
        <w:rPr>
          <w:rFonts w:asciiTheme="majorBidi" w:hAnsiTheme="majorBidi" w:cstheme="majorBidi"/>
          <w:b/>
          <w:bCs/>
          <w:sz w:val="20"/>
          <w:szCs w:val="20"/>
          <w:lang w:val="tr-TR"/>
        </w:rPr>
        <w:t xml:space="preserve">ASHANDÎ’S WORK </w:t>
      </w:r>
      <w:r w:rsidRPr="00F26677">
        <w:rPr>
          <w:rFonts w:asciiTheme="majorBidi" w:hAnsiTheme="majorBidi" w:cstheme="majorBidi"/>
          <w:b/>
          <w:bCs/>
          <w:sz w:val="20"/>
          <w:szCs w:val="20"/>
        </w:rPr>
        <w:t xml:space="preserve">ṢUBḤ AL-A‘SHĀ </w:t>
      </w:r>
      <w:r w:rsidRPr="002C446C">
        <w:rPr>
          <w:rFonts w:asciiTheme="majorBidi" w:hAnsiTheme="majorBidi" w:cstheme="majorBidi"/>
          <w:b/>
          <w:bCs/>
          <w:sz w:val="20"/>
          <w:szCs w:val="20"/>
          <w:lang w:val="tr-TR"/>
        </w:rPr>
        <w:t>FÎ SINÂ’ATI’L-INSHÂ</w:t>
      </w:r>
    </w:p>
    <w:p w14:paraId="4B69C8E6" w14:textId="77777777" w:rsidR="000F1FEE" w:rsidRDefault="000F1FEE" w:rsidP="000F1FEE">
      <w:pPr>
        <w:spacing w:line="276" w:lineRule="auto"/>
        <w:jc w:val="right"/>
        <w:rPr>
          <w:rFonts w:asciiTheme="majorBidi" w:hAnsiTheme="majorBidi" w:cstheme="majorBidi"/>
          <w:b/>
          <w:bCs/>
          <w:sz w:val="20"/>
          <w:szCs w:val="20"/>
        </w:rPr>
      </w:pPr>
      <w:r w:rsidRPr="002C446C">
        <w:rPr>
          <w:rFonts w:asciiTheme="majorBidi" w:hAnsiTheme="majorBidi" w:cstheme="majorBidi"/>
          <w:b/>
          <w:bCs/>
          <w:sz w:val="20"/>
          <w:szCs w:val="20"/>
        </w:rPr>
        <w:t>Konul Eyvazova</w:t>
      </w:r>
    </w:p>
    <w:p w14:paraId="344CEA1C" w14:textId="77777777" w:rsidR="000F1FEE" w:rsidRPr="002C446C" w:rsidRDefault="000F1FEE" w:rsidP="000F1FEE">
      <w:pPr>
        <w:spacing w:line="276" w:lineRule="auto"/>
        <w:jc w:val="center"/>
        <w:rPr>
          <w:rFonts w:asciiTheme="majorBidi" w:hAnsiTheme="majorBidi" w:cstheme="majorBidi"/>
          <w:sz w:val="20"/>
          <w:szCs w:val="20"/>
        </w:rPr>
      </w:pPr>
      <w:r>
        <w:rPr>
          <w:rFonts w:asciiTheme="majorBidi" w:hAnsiTheme="majorBidi" w:cstheme="majorBidi"/>
          <w:b/>
          <w:bCs/>
          <w:sz w:val="20"/>
          <w:szCs w:val="20"/>
        </w:rPr>
        <w:t>Abstract</w:t>
      </w:r>
    </w:p>
    <w:p w14:paraId="05BE03C0" w14:textId="77777777" w:rsidR="000F1FEE" w:rsidRPr="00C946C1" w:rsidRDefault="000F1FEE" w:rsidP="000F1FEE">
      <w:pPr>
        <w:spacing w:after="0" w:line="276" w:lineRule="auto"/>
        <w:jc w:val="both"/>
        <w:rPr>
          <w:rFonts w:asciiTheme="majorBidi" w:hAnsiTheme="majorBidi" w:cstheme="majorBidi"/>
          <w:sz w:val="20"/>
          <w:szCs w:val="20"/>
        </w:rPr>
      </w:pPr>
      <w:r w:rsidRPr="00C946C1">
        <w:rPr>
          <w:rFonts w:asciiTheme="majorBidi" w:hAnsiTheme="majorBidi" w:cstheme="majorBidi"/>
          <w:sz w:val="20"/>
          <w:szCs w:val="20"/>
        </w:rPr>
        <w:t>Ahmad ibn Abbas al-</w:t>
      </w:r>
      <w:proofErr w:type="spellStart"/>
      <w:r w:rsidRPr="00C946C1">
        <w:rPr>
          <w:rFonts w:asciiTheme="majorBidi" w:hAnsiTheme="majorBidi" w:cstheme="majorBidi"/>
          <w:sz w:val="20"/>
          <w:szCs w:val="20"/>
        </w:rPr>
        <w:t>Qalqashandi</w:t>
      </w:r>
      <w:proofErr w:type="spellEnd"/>
      <w:r w:rsidRPr="00C946C1">
        <w:rPr>
          <w:rFonts w:asciiTheme="majorBidi" w:hAnsiTheme="majorBidi" w:cstheme="majorBidi"/>
          <w:sz w:val="20"/>
          <w:szCs w:val="20"/>
        </w:rPr>
        <w:t xml:space="preserve"> (1355-1418) is one of the prominent scholars who lived and worked during the Mamluk period (1250-1518), which is considered one of the most brilliant periods in the history of Islamic civilization and science. This scholar, who specialized in literature, Arabic language sciences, geography, history, jurisprudence, religious sciences, and natural sciences, is known for his work "Subh al </w:t>
      </w:r>
      <w:proofErr w:type="spellStart"/>
      <w:r w:rsidRPr="00C946C1">
        <w:rPr>
          <w:rFonts w:asciiTheme="majorBidi" w:hAnsiTheme="majorBidi" w:cstheme="majorBidi"/>
          <w:sz w:val="20"/>
          <w:szCs w:val="20"/>
        </w:rPr>
        <w:t>ashâ</w:t>
      </w:r>
      <w:proofErr w:type="spellEnd"/>
      <w:r w:rsidRPr="00C946C1">
        <w:rPr>
          <w:rFonts w:asciiTheme="majorBidi" w:hAnsiTheme="majorBidi" w:cstheme="majorBidi"/>
          <w:sz w:val="20"/>
          <w:szCs w:val="20"/>
        </w:rPr>
        <w:t xml:space="preserve"> </w:t>
      </w:r>
      <w:proofErr w:type="spellStart"/>
      <w:r w:rsidRPr="00C946C1">
        <w:rPr>
          <w:rFonts w:asciiTheme="majorBidi" w:hAnsiTheme="majorBidi" w:cstheme="majorBidi"/>
          <w:sz w:val="20"/>
          <w:szCs w:val="20"/>
        </w:rPr>
        <w:t>fî</w:t>
      </w:r>
      <w:proofErr w:type="spellEnd"/>
      <w:r w:rsidRPr="00C946C1">
        <w:rPr>
          <w:rFonts w:asciiTheme="majorBidi" w:hAnsiTheme="majorBidi" w:cstheme="majorBidi"/>
          <w:sz w:val="20"/>
          <w:szCs w:val="20"/>
        </w:rPr>
        <w:t xml:space="preserve"> </w:t>
      </w:r>
      <w:proofErr w:type="spellStart"/>
      <w:r w:rsidRPr="00C946C1">
        <w:rPr>
          <w:rFonts w:asciiTheme="majorBidi" w:hAnsiTheme="majorBidi" w:cstheme="majorBidi"/>
          <w:sz w:val="20"/>
          <w:szCs w:val="20"/>
        </w:rPr>
        <w:t>sınâ’atı’l-ınshâ</w:t>
      </w:r>
      <w:proofErr w:type="spellEnd"/>
      <w:r w:rsidRPr="00C946C1">
        <w:rPr>
          <w:rFonts w:asciiTheme="majorBidi" w:hAnsiTheme="majorBidi" w:cstheme="majorBidi"/>
          <w:sz w:val="20"/>
          <w:szCs w:val="20"/>
        </w:rPr>
        <w:t>," which is about the art of writing. This 14-volume work, written to guide court clerks, is considered one of the three largest encyclopedic works written during the Mamluk period. In addition to providing information about Arabic script and writing techniques of the time—paper, pen, ink, etc.—the work includes important topics such as geography, history, literature, and rhetoric. The author, referencing the works of previous great scholars, also provided information about regions and countries with political and administrative connections to Egypt, Syria, and the Mamluk State. One of these regions is Azerbaijan.</w:t>
      </w:r>
    </w:p>
    <w:p w14:paraId="65A28C7A" w14:textId="77777777" w:rsidR="000F1FEE" w:rsidRPr="00C946C1" w:rsidRDefault="000F1FEE" w:rsidP="000F1FEE">
      <w:pPr>
        <w:spacing w:after="0" w:line="276" w:lineRule="auto"/>
        <w:jc w:val="both"/>
        <w:rPr>
          <w:rFonts w:asciiTheme="majorBidi" w:hAnsiTheme="majorBidi" w:cstheme="majorBidi"/>
          <w:sz w:val="20"/>
          <w:szCs w:val="20"/>
        </w:rPr>
      </w:pPr>
      <w:r w:rsidRPr="00C946C1">
        <w:rPr>
          <w:rFonts w:asciiTheme="majorBidi" w:hAnsiTheme="majorBidi" w:cstheme="majorBidi"/>
          <w:sz w:val="20"/>
          <w:szCs w:val="20"/>
        </w:rPr>
        <w:t>As the title suggests, the article "Azerbaijani Cities in al-</w:t>
      </w:r>
      <w:proofErr w:type="spellStart"/>
      <w:r w:rsidRPr="00C946C1">
        <w:rPr>
          <w:rFonts w:asciiTheme="majorBidi" w:hAnsiTheme="majorBidi" w:cstheme="majorBidi"/>
          <w:sz w:val="20"/>
          <w:szCs w:val="20"/>
        </w:rPr>
        <w:t>Qalqaşandi’s</w:t>
      </w:r>
      <w:proofErr w:type="spellEnd"/>
      <w:r w:rsidRPr="00C946C1">
        <w:rPr>
          <w:rFonts w:asciiTheme="majorBidi" w:hAnsiTheme="majorBidi" w:cstheme="majorBidi"/>
          <w:sz w:val="20"/>
          <w:szCs w:val="20"/>
        </w:rPr>
        <w:t xml:space="preserve"> work “Subh al </w:t>
      </w:r>
      <w:proofErr w:type="spellStart"/>
      <w:r w:rsidRPr="00C946C1">
        <w:rPr>
          <w:rFonts w:asciiTheme="majorBidi" w:hAnsiTheme="majorBidi" w:cstheme="majorBidi"/>
          <w:sz w:val="20"/>
          <w:szCs w:val="20"/>
        </w:rPr>
        <w:t>ashâ</w:t>
      </w:r>
      <w:proofErr w:type="spellEnd"/>
      <w:r w:rsidRPr="00C946C1">
        <w:rPr>
          <w:rFonts w:asciiTheme="majorBidi" w:hAnsiTheme="majorBidi" w:cstheme="majorBidi"/>
          <w:sz w:val="20"/>
          <w:szCs w:val="20"/>
        </w:rPr>
        <w:t xml:space="preserve"> </w:t>
      </w:r>
      <w:proofErr w:type="spellStart"/>
      <w:r w:rsidRPr="00C946C1">
        <w:rPr>
          <w:rFonts w:asciiTheme="majorBidi" w:hAnsiTheme="majorBidi" w:cstheme="majorBidi"/>
          <w:sz w:val="20"/>
          <w:szCs w:val="20"/>
        </w:rPr>
        <w:t>fî</w:t>
      </w:r>
      <w:proofErr w:type="spellEnd"/>
      <w:r w:rsidRPr="00C946C1">
        <w:rPr>
          <w:rFonts w:asciiTheme="majorBidi" w:hAnsiTheme="majorBidi" w:cstheme="majorBidi"/>
          <w:sz w:val="20"/>
          <w:szCs w:val="20"/>
        </w:rPr>
        <w:t xml:space="preserve"> </w:t>
      </w:r>
      <w:proofErr w:type="spellStart"/>
      <w:r w:rsidRPr="00C946C1">
        <w:rPr>
          <w:rFonts w:asciiTheme="majorBidi" w:hAnsiTheme="majorBidi" w:cstheme="majorBidi"/>
          <w:sz w:val="20"/>
          <w:szCs w:val="20"/>
        </w:rPr>
        <w:t>sınâ’atı’l-ınshâ</w:t>
      </w:r>
      <w:proofErr w:type="spellEnd"/>
      <w:r w:rsidRPr="00C946C1">
        <w:rPr>
          <w:rFonts w:asciiTheme="majorBidi" w:hAnsiTheme="majorBidi" w:cstheme="majorBidi"/>
          <w:sz w:val="20"/>
          <w:szCs w:val="20"/>
        </w:rPr>
        <w:t xml:space="preserve">" provides information about the Azerbaijani cities mentioned in the work “Subh al </w:t>
      </w:r>
      <w:proofErr w:type="spellStart"/>
      <w:r w:rsidRPr="00C946C1">
        <w:rPr>
          <w:rFonts w:asciiTheme="majorBidi" w:hAnsiTheme="majorBidi" w:cstheme="majorBidi"/>
          <w:sz w:val="20"/>
          <w:szCs w:val="20"/>
        </w:rPr>
        <w:t>ashâ</w:t>
      </w:r>
      <w:proofErr w:type="spellEnd"/>
      <w:r w:rsidRPr="00C946C1">
        <w:rPr>
          <w:rFonts w:asciiTheme="majorBidi" w:hAnsiTheme="majorBidi" w:cstheme="majorBidi"/>
          <w:sz w:val="20"/>
          <w:szCs w:val="20"/>
        </w:rPr>
        <w:t xml:space="preserve"> </w:t>
      </w:r>
      <w:proofErr w:type="spellStart"/>
      <w:r w:rsidRPr="00C946C1">
        <w:rPr>
          <w:rFonts w:asciiTheme="majorBidi" w:hAnsiTheme="majorBidi" w:cstheme="majorBidi"/>
          <w:sz w:val="20"/>
          <w:szCs w:val="20"/>
        </w:rPr>
        <w:t>fî</w:t>
      </w:r>
      <w:proofErr w:type="spellEnd"/>
      <w:r w:rsidRPr="00C946C1">
        <w:rPr>
          <w:rFonts w:asciiTheme="majorBidi" w:hAnsiTheme="majorBidi" w:cstheme="majorBidi"/>
          <w:sz w:val="20"/>
          <w:szCs w:val="20"/>
        </w:rPr>
        <w:t xml:space="preserve"> </w:t>
      </w:r>
      <w:proofErr w:type="spellStart"/>
      <w:r w:rsidRPr="00C946C1">
        <w:rPr>
          <w:rFonts w:asciiTheme="majorBidi" w:hAnsiTheme="majorBidi" w:cstheme="majorBidi"/>
          <w:sz w:val="20"/>
          <w:szCs w:val="20"/>
        </w:rPr>
        <w:t>sınâ’atı’l-ınshâ</w:t>
      </w:r>
      <w:proofErr w:type="spellEnd"/>
      <w:r w:rsidRPr="00C946C1">
        <w:rPr>
          <w:rFonts w:asciiTheme="majorBidi" w:hAnsiTheme="majorBidi" w:cstheme="majorBidi"/>
          <w:sz w:val="20"/>
          <w:szCs w:val="20"/>
        </w:rPr>
        <w:t>"</w:t>
      </w:r>
    </w:p>
    <w:p w14:paraId="27F41936" w14:textId="77777777" w:rsidR="000F1FEE" w:rsidRPr="00C946C1" w:rsidRDefault="000F1FEE" w:rsidP="000F1FEE">
      <w:pPr>
        <w:spacing w:after="0" w:line="276" w:lineRule="auto"/>
        <w:jc w:val="both"/>
        <w:rPr>
          <w:rFonts w:asciiTheme="majorBidi" w:hAnsiTheme="majorBidi" w:cstheme="majorBidi"/>
          <w:sz w:val="20"/>
          <w:szCs w:val="20"/>
        </w:rPr>
      </w:pPr>
      <w:r w:rsidRPr="00C946C1">
        <w:rPr>
          <w:rFonts w:asciiTheme="majorBidi" w:hAnsiTheme="majorBidi" w:cstheme="majorBidi"/>
          <w:sz w:val="20"/>
          <w:szCs w:val="20"/>
        </w:rPr>
        <w:lastRenderedPageBreak/>
        <w:t xml:space="preserve">As is well known, the role of Arabic sources is significant in studies on the history, literature, geographical regions, and cultural, scientific, and literary heritage of Azerbaijan in the medieval Arab world. We find this information especially in the works of historians such as al-Tabari (838-923) "Tarih al-Rusul </w:t>
      </w:r>
      <w:proofErr w:type="spellStart"/>
      <w:r w:rsidRPr="00C946C1">
        <w:rPr>
          <w:rFonts w:asciiTheme="majorBidi" w:hAnsiTheme="majorBidi" w:cstheme="majorBidi"/>
          <w:sz w:val="20"/>
          <w:szCs w:val="20"/>
        </w:rPr>
        <w:t>va'l</w:t>
      </w:r>
      <w:proofErr w:type="spellEnd"/>
      <w:r w:rsidRPr="00C946C1">
        <w:rPr>
          <w:rFonts w:asciiTheme="majorBidi" w:hAnsiTheme="majorBidi" w:cstheme="majorBidi"/>
          <w:sz w:val="20"/>
          <w:szCs w:val="20"/>
        </w:rPr>
        <w:t>-Muluk," al-</w:t>
      </w:r>
      <w:proofErr w:type="spellStart"/>
      <w:r w:rsidRPr="00C946C1">
        <w:rPr>
          <w:rFonts w:asciiTheme="majorBidi" w:hAnsiTheme="majorBidi" w:cstheme="majorBidi"/>
          <w:sz w:val="20"/>
          <w:szCs w:val="20"/>
        </w:rPr>
        <w:t>Baladhuri</w:t>
      </w:r>
      <w:proofErr w:type="spellEnd"/>
      <w:r w:rsidRPr="00C946C1">
        <w:rPr>
          <w:rFonts w:asciiTheme="majorBidi" w:hAnsiTheme="majorBidi" w:cstheme="majorBidi"/>
          <w:sz w:val="20"/>
          <w:szCs w:val="20"/>
        </w:rPr>
        <w:t xml:space="preserve"> (d. 892) "Futuh al-</w:t>
      </w:r>
      <w:proofErr w:type="spellStart"/>
      <w:r w:rsidRPr="00C946C1">
        <w:rPr>
          <w:rFonts w:asciiTheme="majorBidi" w:hAnsiTheme="majorBidi" w:cstheme="majorBidi"/>
          <w:sz w:val="20"/>
          <w:szCs w:val="20"/>
        </w:rPr>
        <w:t>Buldan</w:t>
      </w:r>
      <w:proofErr w:type="spellEnd"/>
      <w:r w:rsidRPr="00C946C1">
        <w:rPr>
          <w:rFonts w:asciiTheme="majorBidi" w:hAnsiTheme="majorBidi" w:cstheme="majorBidi"/>
          <w:sz w:val="20"/>
          <w:szCs w:val="20"/>
        </w:rPr>
        <w:t>," al-Kufi (d. 926) "Kitab al-Futuh," al-</w:t>
      </w:r>
      <w:proofErr w:type="spellStart"/>
      <w:r w:rsidRPr="00C946C1">
        <w:rPr>
          <w:rFonts w:asciiTheme="majorBidi" w:hAnsiTheme="majorBidi" w:cstheme="majorBidi"/>
          <w:sz w:val="20"/>
          <w:szCs w:val="20"/>
        </w:rPr>
        <w:t>Ya'qubi</w:t>
      </w:r>
      <w:proofErr w:type="spellEnd"/>
      <w:r w:rsidRPr="00C946C1">
        <w:rPr>
          <w:rFonts w:asciiTheme="majorBidi" w:hAnsiTheme="majorBidi" w:cstheme="majorBidi"/>
          <w:sz w:val="20"/>
          <w:szCs w:val="20"/>
        </w:rPr>
        <w:t xml:space="preserve"> (d. 897) "Tarih," al-Istakhri (850-934) "Al-malik </w:t>
      </w:r>
      <w:proofErr w:type="spellStart"/>
      <w:r w:rsidRPr="00C946C1">
        <w:rPr>
          <w:rFonts w:asciiTheme="majorBidi" w:hAnsiTheme="majorBidi" w:cstheme="majorBidi"/>
          <w:sz w:val="20"/>
          <w:szCs w:val="20"/>
        </w:rPr>
        <w:t>val-mamalik</w:t>
      </w:r>
      <w:proofErr w:type="spellEnd"/>
      <w:r w:rsidRPr="00C946C1">
        <w:rPr>
          <w:rFonts w:asciiTheme="majorBidi" w:hAnsiTheme="majorBidi" w:cstheme="majorBidi"/>
          <w:sz w:val="20"/>
          <w:szCs w:val="20"/>
        </w:rPr>
        <w:t>," Ibn al-Athir (1160-1233) "al-Kamil fit-Tarih," and others. In this context, we dedicate this article to the topic, considering al-</w:t>
      </w:r>
      <w:proofErr w:type="spellStart"/>
      <w:r w:rsidRPr="00C946C1">
        <w:rPr>
          <w:rFonts w:asciiTheme="majorBidi" w:hAnsiTheme="majorBidi" w:cstheme="majorBidi"/>
          <w:sz w:val="20"/>
          <w:szCs w:val="20"/>
        </w:rPr>
        <w:t>Qalqashandi’s</w:t>
      </w:r>
      <w:proofErr w:type="spellEnd"/>
      <w:r w:rsidRPr="00C946C1">
        <w:rPr>
          <w:rFonts w:asciiTheme="majorBidi" w:hAnsiTheme="majorBidi" w:cstheme="majorBidi"/>
          <w:sz w:val="20"/>
          <w:szCs w:val="20"/>
        </w:rPr>
        <w:t xml:space="preserve"> "Subh al-Asha" as an important source for learning about the history and geography of Azerbaijan.</w:t>
      </w:r>
    </w:p>
    <w:p w14:paraId="5A77EDE1" w14:textId="77777777" w:rsidR="000F1FEE" w:rsidRDefault="000F1FEE" w:rsidP="000F1FEE">
      <w:pPr>
        <w:spacing w:after="0" w:line="276" w:lineRule="auto"/>
        <w:jc w:val="both"/>
        <w:rPr>
          <w:rFonts w:asciiTheme="majorBidi" w:hAnsiTheme="majorBidi" w:cstheme="majorBidi"/>
          <w:b/>
          <w:bCs/>
          <w:sz w:val="20"/>
          <w:szCs w:val="20"/>
        </w:rPr>
      </w:pPr>
      <w:r w:rsidRPr="00C946C1">
        <w:rPr>
          <w:rFonts w:asciiTheme="majorBidi" w:hAnsiTheme="majorBidi" w:cstheme="majorBidi"/>
          <w:sz w:val="20"/>
          <w:szCs w:val="20"/>
        </w:rPr>
        <w:t>In the article, geographical descriptions and information about Azerbaijani cities are provided based on the administrative regions of that period, with "Subh al-Asha" being the main source.</w:t>
      </w:r>
      <w:r w:rsidRPr="00C946C1">
        <w:rPr>
          <w:rFonts w:asciiTheme="majorBidi" w:hAnsiTheme="majorBidi" w:cstheme="majorBidi"/>
          <w:b/>
          <w:bCs/>
          <w:sz w:val="20"/>
          <w:szCs w:val="20"/>
        </w:rPr>
        <w:t xml:space="preserve"> </w:t>
      </w:r>
    </w:p>
    <w:p w14:paraId="45EDB298" w14:textId="77777777" w:rsidR="000F1FEE" w:rsidRDefault="000F1FEE" w:rsidP="000F1FEE">
      <w:pPr>
        <w:spacing w:after="0" w:line="276" w:lineRule="auto"/>
        <w:jc w:val="both"/>
        <w:rPr>
          <w:rFonts w:asciiTheme="majorBidi" w:hAnsiTheme="majorBidi" w:cstheme="majorBidi"/>
          <w:sz w:val="20"/>
          <w:szCs w:val="20"/>
        </w:rPr>
      </w:pPr>
      <w:r w:rsidRPr="002C446C">
        <w:rPr>
          <w:rFonts w:asciiTheme="majorBidi" w:hAnsiTheme="majorBidi" w:cstheme="majorBidi"/>
          <w:b/>
          <w:bCs/>
          <w:sz w:val="20"/>
          <w:szCs w:val="20"/>
        </w:rPr>
        <w:t>Keywords:</w:t>
      </w:r>
      <w:r w:rsidRPr="002C446C">
        <w:rPr>
          <w:rFonts w:asciiTheme="majorBidi" w:hAnsiTheme="majorBidi" w:cstheme="majorBidi"/>
          <w:sz w:val="20"/>
          <w:szCs w:val="20"/>
        </w:rPr>
        <w:t xml:space="preserve"> al-</w:t>
      </w:r>
      <w:proofErr w:type="spellStart"/>
      <w:r>
        <w:rPr>
          <w:rFonts w:asciiTheme="majorBidi" w:hAnsiTheme="majorBidi" w:cstheme="majorBidi"/>
          <w:sz w:val="20"/>
          <w:szCs w:val="20"/>
        </w:rPr>
        <w:t>Q</w:t>
      </w:r>
      <w:r w:rsidRPr="002C446C">
        <w:rPr>
          <w:rFonts w:asciiTheme="majorBidi" w:hAnsiTheme="majorBidi" w:cstheme="majorBidi"/>
          <w:sz w:val="20"/>
          <w:szCs w:val="20"/>
        </w:rPr>
        <w:t>al</w:t>
      </w:r>
      <w:r>
        <w:rPr>
          <w:rFonts w:asciiTheme="majorBidi" w:hAnsiTheme="majorBidi" w:cstheme="majorBidi"/>
          <w:sz w:val="20"/>
          <w:szCs w:val="20"/>
        </w:rPr>
        <w:t>q</w:t>
      </w:r>
      <w:r w:rsidRPr="002C446C">
        <w:rPr>
          <w:rFonts w:asciiTheme="majorBidi" w:hAnsiTheme="majorBidi" w:cstheme="majorBidi"/>
          <w:sz w:val="20"/>
          <w:szCs w:val="20"/>
        </w:rPr>
        <w:t>a</w:t>
      </w:r>
      <w:r>
        <w:rPr>
          <w:rFonts w:asciiTheme="majorBidi" w:hAnsiTheme="majorBidi" w:cstheme="majorBidi"/>
          <w:sz w:val="20"/>
          <w:szCs w:val="20"/>
        </w:rPr>
        <w:t>sh</w:t>
      </w:r>
      <w:r w:rsidRPr="002C446C">
        <w:rPr>
          <w:rFonts w:asciiTheme="majorBidi" w:hAnsiTheme="majorBidi" w:cstheme="majorBidi"/>
          <w:sz w:val="20"/>
          <w:szCs w:val="20"/>
        </w:rPr>
        <w:t>andi</w:t>
      </w:r>
      <w:proofErr w:type="spellEnd"/>
      <w:r w:rsidRPr="002C446C">
        <w:rPr>
          <w:rFonts w:asciiTheme="majorBidi" w:hAnsiTheme="majorBidi" w:cstheme="majorBidi"/>
          <w:sz w:val="20"/>
          <w:szCs w:val="20"/>
        </w:rPr>
        <w:t>, Subh</w:t>
      </w:r>
      <w:r>
        <w:rPr>
          <w:rFonts w:asciiTheme="majorBidi" w:hAnsiTheme="majorBidi" w:cstheme="majorBidi"/>
          <w:sz w:val="20"/>
          <w:szCs w:val="20"/>
        </w:rPr>
        <w:t xml:space="preserve"> a</w:t>
      </w:r>
      <w:r w:rsidRPr="002C446C">
        <w:rPr>
          <w:rFonts w:asciiTheme="majorBidi" w:hAnsiTheme="majorBidi" w:cstheme="majorBidi"/>
          <w:sz w:val="20"/>
          <w:szCs w:val="20"/>
        </w:rPr>
        <w:t xml:space="preserve">l-Asha, Azerbaijan, history, cities. </w:t>
      </w:r>
    </w:p>
    <w:p w14:paraId="4CCCC628" w14:textId="006A72A9" w:rsidR="00C148DC" w:rsidRDefault="00C148DC"/>
    <w:sectPr w:rsidR="00C148DC" w:rsidSect="000F1FEE">
      <w:pgSz w:w="11906" w:h="16838" w:code="9"/>
      <w:pgMar w:top="1985"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1B58B" w14:textId="77777777" w:rsidR="00264156" w:rsidRDefault="00264156" w:rsidP="000F1FEE">
      <w:pPr>
        <w:spacing w:after="0" w:line="240" w:lineRule="auto"/>
      </w:pPr>
      <w:r>
        <w:separator/>
      </w:r>
    </w:p>
  </w:endnote>
  <w:endnote w:type="continuationSeparator" w:id="0">
    <w:p w14:paraId="7E9978DA" w14:textId="77777777" w:rsidR="00264156" w:rsidRDefault="00264156" w:rsidP="000F1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E04005" w14:textId="77777777" w:rsidR="00264156" w:rsidRDefault="00264156" w:rsidP="000F1FEE">
      <w:pPr>
        <w:spacing w:after="0" w:line="240" w:lineRule="auto"/>
      </w:pPr>
      <w:r>
        <w:separator/>
      </w:r>
    </w:p>
  </w:footnote>
  <w:footnote w:type="continuationSeparator" w:id="0">
    <w:p w14:paraId="7D4F2EF9" w14:textId="77777777" w:rsidR="00264156" w:rsidRDefault="00264156" w:rsidP="000F1FEE">
      <w:pPr>
        <w:spacing w:after="0" w:line="240" w:lineRule="auto"/>
      </w:pPr>
      <w:r>
        <w:continuationSeparator/>
      </w:r>
    </w:p>
  </w:footnote>
  <w:footnote w:id="1">
    <w:p w14:paraId="4AE95399" w14:textId="77777777" w:rsidR="000F1FEE" w:rsidRPr="00F33CE4" w:rsidRDefault="000F1FEE" w:rsidP="000F1FEE">
      <w:pPr>
        <w:pStyle w:val="Default"/>
        <w:rPr>
          <w:lang w:val="az-Latn-AZ"/>
        </w:rPr>
      </w:pPr>
      <w:r w:rsidRPr="00673994">
        <w:rPr>
          <w:rStyle w:val="FootnoteReference"/>
        </w:rPr>
        <w:sym w:font="Symbol" w:char="F02A"/>
      </w:r>
      <w:r>
        <w:t xml:space="preserve"> </w:t>
      </w:r>
      <w:proofErr w:type="spellStart"/>
      <w:r>
        <w:rPr>
          <w:sz w:val="15"/>
          <w:szCs w:val="15"/>
        </w:rPr>
        <w:t>Phd</w:t>
      </w:r>
      <w:proofErr w:type="spellEnd"/>
      <w:r>
        <w:rPr>
          <w:sz w:val="15"/>
          <w:szCs w:val="15"/>
        </w:rPr>
        <w:t xml:space="preserve"> (Dr. </w:t>
      </w:r>
      <w:proofErr w:type="spellStart"/>
      <w:r>
        <w:rPr>
          <w:sz w:val="15"/>
          <w:szCs w:val="15"/>
        </w:rPr>
        <w:t>Öğr</w:t>
      </w:r>
      <w:proofErr w:type="spellEnd"/>
      <w:r>
        <w:rPr>
          <w:sz w:val="15"/>
          <w:szCs w:val="15"/>
        </w:rPr>
        <w:t xml:space="preserve">. </w:t>
      </w:r>
      <w:proofErr w:type="spellStart"/>
      <w:r>
        <w:rPr>
          <w:sz w:val="15"/>
          <w:szCs w:val="15"/>
        </w:rPr>
        <w:t>Üyesi</w:t>
      </w:r>
      <w:proofErr w:type="spellEnd"/>
      <w:r>
        <w:rPr>
          <w:sz w:val="15"/>
          <w:szCs w:val="15"/>
        </w:rPr>
        <w:t xml:space="preserve">), </w:t>
      </w:r>
      <w:proofErr w:type="spellStart"/>
      <w:r>
        <w:rPr>
          <w:sz w:val="15"/>
          <w:szCs w:val="15"/>
        </w:rPr>
        <w:t>Bakü</w:t>
      </w:r>
      <w:proofErr w:type="spellEnd"/>
      <w:r>
        <w:rPr>
          <w:sz w:val="15"/>
          <w:szCs w:val="15"/>
        </w:rPr>
        <w:t xml:space="preserve"> Devlet </w:t>
      </w:r>
      <w:proofErr w:type="spellStart"/>
      <w:r>
        <w:rPr>
          <w:sz w:val="15"/>
          <w:szCs w:val="15"/>
        </w:rPr>
        <w:t>Üniversitesi</w:t>
      </w:r>
      <w:proofErr w:type="spellEnd"/>
      <w:r>
        <w:rPr>
          <w:sz w:val="15"/>
          <w:szCs w:val="15"/>
        </w:rPr>
        <w:t xml:space="preserve">, </w:t>
      </w:r>
      <w:proofErr w:type="spellStart"/>
      <w:r>
        <w:rPr>
          <w:sz w:val="15"/>
          <w:szCs w:val="15"/>
        </w:rPr>
        <w:t>Şarkiyat</w:t>
      </w:r>
      <w:proofErr w:type="spellEnd"/>
      <w:r>
        <w:rPr>
          <w:sz w:val="15"/>
          <w:szCs w:val="15"/>
        </w:rPr>
        <w:t xml:space="preserve"> </w:t>
      </w:r>
      <w:proofErr w:type="spellStart"/>
      <w:r>
        <w:rPr>
          <w:sz w:val="15"/>
          <w:szCs w:val="15"/>
        </w:rPr>
        <w:t>Fakültesi</w:t>
      </w:r>
      <w:proofErr w:type="spellEnd"/>
      <w:r>
        <w:rPr>
          <w:sz w:val="15"/>
          <w:szCs w:val="15"/>
        </w:rPr>
        <w:t xml:space="preserve">, Arap </w:t>
      </w:r>
      <w:proofErr w:type="spellStart"/>
      <w:r>
        <w:rPr>
          <w:sz w:val="15"/>
          <w:szCs w:val="15"/>
        </w:rPr>
        <w:t>Filolojisi</w:t>
      </w:r>
      <w:proofErr w:type="spellEnd"/>
      <w:r>
        <w:rPr>
          <w:sz w:val="15"/>
          <w:szCs w:val="15"/>
        </w:rPr>
        <w:t xml:space="preserve"> </w:t>
      </w:r>
      <w:proofErr w:type="spellStart"/>
      <w:r>
        <w:rPr>
          <w:sz w:val="15"/>
          <w:szCs w:val="15"/>
        </w:rPr>
        <w:t>Anabilim</w:t>
      </w:r>
      <w:proofErr w:type="spellEnd"/>
      <w:r>
        <w:rPr>
          <w:sz w:val="15"/>
          <w:szCs w:val="15"/>
        </w:rPr>
        <w:t xml:space="preserve"> </w:t>
      </w:r>
      <w:proofErr w:type="spellStart"/>
      <w:r>
        <w:rPr>
          <w:sz w:val="15"/>
          <w:szCs w:val="15"/>
        </w:rPr>
        <w:t>Dalı</w:t>
      </w:r>
      <w:proofErr w:type="spellEnd"/>
      <w:r>
        <w:rPr>
          <w:sz w:val="15"/>
          <w:szCs w:val="15"/>
        </w:rPr>
        <w:t xml:space="preserve">, </w:t>
      </w:r>
      <w:proofErr w:type="spellStart"/>
      <w:r>
        <w:rPr>
          <w:sz w:val="15"/>
          <w:szCs w:val="15"/>
        </w:rPr>
        <w:t>Bakü</w:t>
      </w:r>
      <w:proofErr w:type="spellEnd"/>
      <w:r>
        <w:rPr>
          <w:sz w:val="15"/>
          <w:szCs w:val="15"/>
        </w:rPr>
        <w:t xml:space="preserve"> /</w:t>
      </w:r>
      <w:proofErr w:type="spellStart"/>
      <w:proofErr w:type="gramStart"/>
      <w:r>
        <w:rPr>
          <w:sz w:val="15"/>
          <w:szCs w:val="15"/>
        </w:rPr>
        <w:t>Azerbaycan</w:t>
      </w:r>
      <w:proofErr w:type="spellEnd"/>
      <w:r>
        <w:rPr>
          <w:sz w:val="15"/>
          <w:szCs w:val="15"/>
        </w:rPr>
        <w:t>,  e</w:t>
      </w:r>
      <w:proofErr w:type="gramEnd"/>
      <w:r>
        <w:rPr>
          <w:sz w:val="15"/>
          <w:szCs w:val="15"/>
        </w:rPr>
        <w:t>-</w:t>
      </w:r>
      <w:proofErr w:type="spellStart"/>
      <w:r>
        <w:rPr>
          <w:sz w:val="15"/>
          <w:szCs w:val="15"/>
        </w:rPr>
        <w:t>posta</w:t>
      </w:r>
      <w:proofErr w:type="spellEnd"/>
      <w:r>
        <w:rPr>
          <w:sz w:val="15"/>
          <w:szCs w:val="15"/>
        </w:rPr>
        <w:t xml:space="preserve">: </w:t>
      </w:r>
      <w:proofErr w:type="spellStart"/>
      <w:r>
        <w:rPr>
          <w:sz w:val="15"/>
          <w:szCs w:val="15"/>
        </w:rPr>
        <w:t>eyvazovaki@gmail.com</w:t>
      </w:r>
      <w:proofErr w:type="spellEnd"/>
      <w:r>
        <w:rPr>
          <w:sz w:val="15"/>
          <w:szCs w:val="15"/>
        </w:rPr>
        <w:t xml:space="preserve"> / ORCID ID: 0000-0002-6625-2564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FEE"/>
    <w:rsid w:val="000F1FEE"/>
    <w:rsid w:val="00264156"/>
    <w:rsid w:val="007D7FFD"/>
    <w:rsid w:val="00827C72"/>
    <w:rsid w:val="00A968EA"/>
    <w:rsid w:val="00C148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3C564"/>
  <w15:chartTrackingRefBased/>
  <w15:docId w15:val="{326884BC-612C-4EBB-BBFE-38BDD0063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FEE"/>
  </w:style>
  <w:style w:type="paragraph" w:styleId="Heading1">
    <w:name w:val="heading 1"/>
    <w:basedOn w:val="Normal"/>
    <w:next w:val="Normal"/>
    <w:link w:val="Heading1Char"/>
    <w:uiPriority w:val="9"/>
    <w:qFormat/>
    <w:rsid w:val="000F1F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1F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1F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F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F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F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F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F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F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F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F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F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F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F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F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F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F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FEE"/>
    <w:rPr>
      <w:rFonts w:eastAsiaTheme="majorEastAsia" w:cstheme="majorBidi"/>
      <w:color w:val="272727" w:themeColor="text1" w:themeTint="D8"/>
    </w:rPr>
  </w:style>
  <w:style w:type="paragraph" w:styleId="Title">
    <w:name w:val="Title"/>
    <w:basedOn w:val="Normal"/>
    <w:next w:val="Normal"/>
    <w:link w:val="TitleChar"/>
    <w:uiPriority w:val="10"/>
    <w:qFormat/>
    <w:rsid w:val="000F1F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F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F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F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FEE"/>
    <w:pPr>
      <w:spacing w:before="160"/>
      <w:jc w:val="center"/>
    </w:pPr>
    <w:rPr>
      <w:i/>
      <w:iCs/>
      <w:color w:val="404040" w:themeColor="text1" w:themeTint="BF"/>
    </w:rPr>
  </w:style>
  <w:style w:type="character" w:customStyle="1" w:styleId="QuoteChar">
    <w:name w:val="Quote Char"/>
    <w:basedOn w:val="DefaultParagraphFont"/>
    <w:link w:val="Quote"/>
    <w:uiPriority w:val="29"/>
    <w:rsid w:val="000F1FEE"/>
    <w:rPr>
      <w:i/>
      <w:iCs/>
      <w:color w:val="404040" w:themeColor="text1" w:themeTint="BF"/>
    </w:rPr>
  </w:style>
  <w:style w:type="paragraph" w:styleId="ListParagraph">
    <w:name w:val="List Paragraph"/>
    <w:basedOn w:val="Normal"/>
    <w:uiPriority w:val="34"/>
    <w:qFormat/>
    <w:rsid w:val="000F1FEE"/>
    <w:pPr>
      <w:ind w:left="720"/>
      <w:contextualSpacing/>
    </w:pPr>
  </w:style>
  <w:style w:type="character" w:styleId="IntenseEmphasis">
    <w:name w:val="Intense Emphasis"/>
    <w:basedOn w:val="DefaultParagraphFont"/>
    <w:uiPriority w:val="21"/>
    <w:qFormat/>
    <w:rsid w:val="000F1FEE"/>
    <w:rPr>
      <w:i/>
      <w:iCs/>
      <w:color w:val="0F4761" w:themeColor="accent1" w:themeShade="BF"/>
    </w:rPr>
  </w:style>
  <w:style w:type="paragraph" w:styleId="IntenseQuote">
    <w:name w:val="Intense Quote"/>
    <w:basedOn w:val="Normal"/>
    <w:next w:val="Normal"/>
    <w:link w:val="IntenseQuoteChar"/>
    <w:uiPriority w:val="30"/>
    <w:qFormat/>
    <w:rsid w:val="000F1F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FEE"/>
    <w:rPr>
      <w:i/>
      <w:iCs/>
      <w:color w:val="0F4761" w:themeColor="accent1" w:themeShade="BF"/>
    </w:rPr>
  </w:style>
  <w:style w:type="character" w:styleId="IntenseReference">
    <w:name w:val="Intense Reference"/>
    <w:basedOn w:val="DefaultParagraphFont"/>
    <w:uiPriority w:val="32"/>
    <w:qFormat/>
    <w:rsid w:val="000F1FEE"/>
    <w:rPr>
      <w:b/>
      <w:bCs/>
      <w:smallCaps/>
      <w:color w:val="0F4761" w:themeColor="accent1" w:themeShade="BF"/>
      <w:spacing w:val="5"/>
    </w:rPr>
  </w:style>
  <w:style w:type="character" w:styleId="FootnoteReference">
    <w:name w:val="footnote reference"/>
    <w:basedOn w:val="DefaultParagraphFont"/>
    <w:uiPriority w:val="99"/>
    <w:semiHidden/>
    <w:unhideWhenUsed/>
    <w:rsid w:val="000F1FEE"/>
    <w:rPr>
      <w:vertAlign w:val="superscript"/>
    </w:rPr>
  </w:style>
  <w:style w:type="paragraph" w:customStyle="1" w:styleId="Default">
    <w:name w:val="Default"/>
    <w:rsid w:val="000F1FE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4047</Characters>
  <Application>Microsoft Office Word</Application>
  <DocSecurity>0</DocSecurity>
  <Lines>53</Lines>
  <Paragraphs>20</Paragraphs>
  <ScaleCrop>false</ScaleCrop>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Konul Eyvazova</dc:creator>
  <cp:keywords/>
  <dc:description/>
  <cp:lastModifiedBy>Konul Eyvazova</cp:lastModifiedBy>
  <cp:revision>1</cp:revision>
  <dcterms:created xsi:type="dcterms:W3CDTF">2024-10-05T21:31:00Z</dcterms:created>
  <dcterms:modified xsi:type="dcterms:W3CDTF">2024-10-05T21:32:00Z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6cea5e9a-0cf8-4b07-8ac7-3bcec2714eac</vt:lpwstr>
  </property>
</Properties>
</file>