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07A8" w14:textId="45A3425E" w:rsidR="0050178F" w:rsidRPr="00DB4B3A" w:rsidRDefault="00580573" w:rsidP="00DB4B3A">
      <w:pPr>
        <w:ind w:right="0"/>
        <w:jc w:val="center"/>
        <w:rPr>
          <w:rFonts w:ascii="Times New Roman" w:hAnsi="Times New Roman" w:cs="Times New Roman"/>
          <w:b/>
          <w:bCs/>
          <w:lang w:val="en-US"/>
        </w:rPr>
      </w:pPr>
      <w:r w:rsidRPr="00DB4B3A">
        <w:rPr>
          <w:rFonts w:ascii="Times New Roman" w:hAnsi="Times New Roman" w:cs="Times New Roman"/>
          <w:b/>
          <w:bCs/>
          <w:lang w:val="en-US"/>
        </w:rPr>
        <w:t>The Forgotten Legal Status of the City of Jerusalem According to the United Nations Charter</w:t>
      </w:r>
    </w:p>
    <w:p w14:paraId="3A4FF3DA" w14:textId="41344440" w:rsidR="00580573" w:rsidRPr="00DB4B3A" w:rsidRDefault="00580573" w:rsidP="00580573">
      <w:pPr>
        <w:ind w:right="0"/>
        <w:jc w:val="both"/>
        <w:rPr>
          <w:rFonts w:ascii="Times New Roman" w:hAnsi="Times New Roman" w:cs="Times New Roman"/>
          <w:lang w:val="en-US"/>
        </w:rPr>
      </w:pPr>
      <w:r w:rsidRPr="00DB4B3A">
        <w:rPr>
          <w:rFonts w:ascii="Times New Roman" w:hAnsi="Times New Roman" w:cs="Times New Roman"/>
          <w:lang w:val="en-US"/>
        </w:rPr>
        <w:t xml:space="preserve">Ottoman Empire lost the city of Jerusalem to </w:t>
      </w:r>
      <w:r w:rsidR="002B5E5F" w:rsidRPr="00DB4B3A">
        <w:rPr>
          <w:rFonts w:ascii="Times New Roman" w:hAnsi="Times New Roman" w:cs="Times New Roman"/>
          <w:lang w:val="en-US"/>
        </w:rPr>
        <w:t xml:space="preserve">the </w:t>
      </w:r>
      <w:r w:rsidRPr="00DB4B3A">
        <w:rPr>
          <w:rFonts w:ascii="Times New Roman" w:hAnsi="Times New Roman" w:cs="Times New Roman"/>
          <w:lang w:val="en-US"/>
        </w:rPr>
        <w:t xml:space="preserve">United Kingdom </w:t>
      </w:r>
      <w:r w:rsidRPr="00DB4B3A">
        <w:rPr>
          <w:rFonts w:ascii="Times New Roman" w:hAnsi="Times New Roman" w:cs="Times New Roman"/>
          <w:lang w:val="en-US"/>
        </w:rPr>
        <w:t>in 1917</w:t>
      </w:r>
      <w:r w:rsidR="00DF445D" w:rsidRPr="00DB4B3A">
        <w:rPr>
          <w:rFonts w:ascii="Times New Roman" w:hAnsi="Times New Roman" w:cs="Times New Roman"/>
          <w:lang w:val="en-US"/>
        </w:rPr>
        <w:t xml:space="preserve"> during the World War I.</w:t>
      </w:r>
      <w:r w:rsidRPr="00DB4B3A">
        <w:rPr>
          <w:rFonts w:ascii="Times New Roman" w:hAnsi="Times New Roman" w:cs="Times New Roman"/>
          <w:lang w:val="en-US"/>
        </w:rPr>
        <w:t xml:space="preserve"> </w:t>
      </w:r>
      <w:r w:rsidR="002B5E5F" w:rsidRPr="00DB4B3A">
        <w:rPr>
          <w:rFonts w:ascii="Times New Roman" w:hAnsi="Times New Roman" w:cs="Times New Roman"/>
          <w:lang w:val="en-US"/>
        </w:rPr>
        <w:t>The United Kingdom established a</w:t>
      </w:r>
      <w:r w:rsidRPr="00DB4B3A">
        <w:rPr>
          <w:rFonts w:ascii="Times New Roman" w:hAnsi="Times New Roman" w:cs="Times New Roman"/>
          <w:lang w:val="en-US"/>
        </w:rPr>
        <w:t xml:space="preserve"> military administration in Jerusalem</w:t>
      </w:r>
      <w:r w:rsidR="002B5E5F" w:rsidRPr="00DB4B3A">
        <w:rPr>
          <w:rFonts w:ascii="Times New Roman" w:hAnsi="Times New Roman" w:cs="Times New Roman"/>
          <w:lang w:val="en-US"/>
        </w:rPr>
        <w:t xml:space="preserve"> that</w:t>
      </w:r>
      <w:r w:rsidRPr="00DB4B3A">
        <w:rPr>
          <w:rFonts w:ascii="Times New Roman" w:hAnsi="Times New Roman" w:cs="Times New Roman"/>
          <w:lang w:val="en-US"/>
        </w:rPr>
        <w:t xml:space="preserve"> lasted </w:t>
      </w:r>
      <w:r w:rsidR="002B5E5F" w:rsidRPr="00DB4B3A">
        <w:rPr>
          <w:rFonts w:ascii="Times New Roman" w:hAnsi="Times New Roman" w:cs="Times New Roman"/>
          <w:lang w:val="en-US"/>
        </w:rPr>
        <w:t xml:space="preserve">until 30 </w:t>
      </w:r>
      <w:r w:rsidRPr="00DB4B3A">
        <w:rPr>
          <w:rFonts w:ascii="Times New Roman" w:hAnsi="Times New Roman" w:cs="Times New Roman"/>
          <w:lang w:val="en-US"/>
        </w:rPr>
        <w:t xml:space="preserve">June 1920. At the San Remo Conference on </w:t>
      </w:r>
      <w:r w:rsidR="002B5E5F" w:rsidRPr="00DB4B3A">
        <w:rPr>
          <w:rFonts w:ascii="Times New Roman" w:hAnsi="Times New Roman" w:cs="Times New Roman"/>
          <w:lang w:val="en-US"/>
        </w:rPr>
        <w:t xml:space="preserve">25 </w:t>
      </w:r>
      <w:r w:rsidRPr="00DB4B3A">
        <w:rPr>
          <w:rFonts w:ascii="Times New Roman" w:hAnsi="Times New Roman" w:cs="Times New Roman"/>
          <w:lang w:val="en-US"/>
        </w:rPr>
        <w:t>April</w:t>
      </w:r>
      <w:r w:rsidR="002B5E5F" w:rsidRPr="00DB4B3A">
        <w:rPr>
          <w:rFonts w:ascii="Times New Roman" w:hAnsi="Times New Roman" w:cs="Times New Roman"/>
          <w:lang w:val="en-US"/>
        </w:rPr>
        <w:t xml:space="preserve"> </w:t>
      </w:r>
      <w:r w:rsidRPr="00DB4B3A">
        <w:rPr>
          <w:rFonts w:ascii="Times New Roman" w:hAnsi="Times New Roman" w:cs="Times New Roman"/>
          <w:lang w:val="en-US"/>
        </w:rPr>
        <w:t xml:space="preserve">1920, it was decided that </w:t>
      </w:r>
      <w:r w:rsidR="002B5E5F" w:rsidRPr="00DB4B3A">
        <w:rPr>
          <w:rFonts w:ascii="Times New Roman" w:hAnsi="Times New Roman" w:cs="Times New Roman"/>
          <w:lang w:val="en-US"/>
        </w:rPr>
        <w:t>the United Kingdom wo</w:t>
      </w:r>
      <w:r w:rsidRPr="00DB4B3A">
        <w:rPr>
          <w:rFonts w:ascii="Times New Roman" w:hAnsi="Times New Roman" w:cs="Times New Roman"/>
          <w:lang w:val="en-US"/>
        </w:rPr>
        <w:t xml:space="preserve">uld take over the administration of Palestine within the Mandate System of the League of Nations, which was established after World War I. The administration of the city of Jerusalem was transferred to </w:t>
      </w:r>
      <w:r w:rsidR="002B5E5F" w:rsidRPr="00DB4B3A">
        <w:rPr>
          <w:rFonts w:ascii="Times New Roman" w:hAnsi="Times New Roman" w:cs="Times New Roman"/>
          <w:lang w:val="en-US"/>
        </w:rPr>
        <w:t xml:space="preserve">the United Kingdom </w:t>
      </w:r>
      <w:r w:rsidRPr="00DB4B3A">
        <w:rPr>
          <w:rFonts w:ascii="Times New Roman" w:hAnsi="Times New Roman" w:cs="Times New Roman"/>
          <w:lang w:val="en-US"/>
        </w:rPr>
        <w:t>on</w:t>
      </w:r>
      <w:r w:rsidR="002B5E5F" w:rsidRPr="00DB4B3A">
        <w:rPr>
          <w:rFonts w:ascii="Times New Roman" w:hAnsi="Times New Roman" w:cs="Times New Roman"/>
          <w:lang w:val="en-US"/>
        </w:rPr>
        <w:t xml:space="preserve"> 24</w:t>
      </w:r>
      <w:r w:rsidRPr="00DB4B3A">
        <w:rPr>
          <w:rFonts w:ascii="Times New Roman" w:hAnsi="Times New Roman" w:cs="Times New Roman"/>
          <w:lang w:val="en-US"/>
        </w:rPr>
        <w:t xml:space="preserve"> July 1922</w:t>
      </w:r>
      <w:r w:rsidR="002B5E5F" w:rsidRPr="00DB4B3A">
        <w:rPr>
          <w:rFonts w:ascii="Times New Roman" w:hAnsi="Times New Roman" w:cs="Times New Roman"/>
          <w:lang w:val="en-US"/>
        </w:rPr>
        <w:t xml:space="preserve"> within the Palestine Mandate</w:t>
      </w:r>
      <w:r w:rsidR="00DF445D" w:rsidRPr="00DB4B3A">
        <w:rPr>
          <w:rFonts w:ascii="Times New Roman" w:hAnsi="Times New Roman" w:cs="Times New Roman"/>
          <w:lang w:val="en-US"/>
        </w:rPr>
        <w:t xml:space="preserve"> under Article 22 of the Covenant of the League of Nations.</w:t>
      </w:r>
    </w:p>
    <w:p w14:paraId="5568EAA2" w14:textId="1D9CB186" w:rsidR="00580573" w:rsidRPr="00DB4B3A" w:rsidRDefault="00580573" w:rsidP="00580573">
      <w:pPr>
        <w:ind w:right="0"/>
        <w:jc w:val="both"/>
        <w:rPr>
          <w:rFonts w:ascii="Times New Roman" w:hAnsi="Times New Roman" w:cs="Times New Roman"/>
          <w:lang w:val="en-US"/>
        </w:rPr>
      </w:pPr>
      <w:r w:rsidRPr="00DB4B3A">
        <w:rPr>
          <w:rFonts w:ascii="Times New Roman" w:hAnsi="Times New Roman" w:cs="Times New Roman"/>
          <w:lang w:val="en-US"/>
        </w:rPr>
        <w:t>With the establishment of the United Nations after World War II,</w:t>
      </w:r>
      <w:r w:rsidR="00DF445D" w:rsidRPr="00DB4B3A">
        <w:rPr>
          <w:rFonts w:ascii="Times New Roman" w:hAnsi="Times New Roman" w:cs="Times New Roman"/>
          <w:lang w:val="en-US"/>
        </w:rPr>
        <w:t xml:space="preserve"> Palestine Mandate of the United Kingdom was passed to </w:t>
      </w:r>
      <w:r w:rsidRPr="00DB4B3A">
        <w:rPr>
          <w:rFonts w:ascii="Times New Roman" w:hAnsi="Times New Roman" w:cs="Times New Roman"/>
          <w:lang w:val="en-US"/>
        </w:rPr>
        <w:t>Chapter 12 of the United Nations Charter</w:t>
      </w:r>
      <w:r w:rsidR="00DF445D" w:rsidRPr="00DB4B3A">
        <w:rPr>
          <w:rFonts w:ascii="Times New Roman" w:hAnsi="Times New Roman" w:cs="Times New Roman"/>
          <w:lang w:val="en-US"/>
        </w:rPr>
        <w:t xml:space="preserve"> namely</w:t>
      </w:r>
      <w:r w:rsidRPr="00DB4B3A">
        <w:rPr>
          <w:rFonts w:ascii="Times New Roman" w:hAnsi="Times New Roman" w:cs="Times New Roman"/>
          <w:lang w:val="en-US"/>
        </w:rPr>
        <w:t xml:space="preserve"> </w:t>
      </w:r>
      <w:r w:rsidR="00DF445D" w:rsidRPr="00DB4B3A">
        <w:rPr>
          <w:rFonts w:ascii="Times New Roman" w:hAnsi="Times New Roman" w:cs="Times New Roman"/>
          <w:lang w:val="en-US"/>
        </w:rPr>
        <w:t>“</w:t>
      </w:r>
      <w:r w:rsidRPr="00DB4B3A">
        <w:rPr>
          <w:rFonts w:ascii="Times New Roman" w:hAnsi="Times New Roman" w:cs="Times New Roman"/>
          <w:lang w:val="en-US"/>
        </w:rPr>
        <w:t>the International Trusteeship Regime</w:t>
      </w:r>
      <w:r w:rsidR="00DF445D" w:rsidRPr="00DB4B3A">
        <w:rPr>
          <w:rFonts w:ascii="Times New Roman" w:hAnsi="Times New Roman" w:cs="Times New Roman"/>
          <w:lang w:val="en-US"/>
        </w:rPr>
        <w:t>” from Article 22 of the League of Nations Covenant</w:t>
      </w:r>
      <w:r w:rsidRPr="00DB4B3A">
        <w:rPr>
          <w:rFonts w:ascii="Times New Roman" w:hAnsi="Times New Roman" w:cs="Times New Roman"/>
          <w:lang w:val="en-US"/>
        </w:rPr>
        <w:t>.</w:t>
      </w:r>
      <w:r w:rsidR="00DF445D" w:rsidRPr="00DB4B3A">
        <w:rPr>
          <w:rFonts w:ascii="Times New Roman" w:hAnsi="Times New Roman" w:cs="Times New Roman"/>
          <w:lang w:val="en-US"/>
        </w:rPr>
        <w:t xml:space="preserve"> W</w:t>
      </w:r>
      <w:r w:rsidRPr="00DB4B3A">
        <w:rPr>
          <w:rFonts w:ascii="Times New Roman" w:hAnsi="Times New Roman" w:cs="Times New Roman"/>
          <w:lang w:val="en-US"/>
        </w:rPr>
        <w:t xml:space="preserve">ith the resolution 181 of the United Nations General Assembly </w:t>
      </w:r>
      <w:r w:rsidR="00DF445D" w:rsidRPr="00DB4B3A">
        <w:rPr>
          <w:rFonts w:ascii="Times New Roman" w:hAnsi="Times New Roman" w:cs="Times New Roman"/>
          <w:lang w:val="en-US"/>
        </w:rPr>
        <w:t xml:space="preserve">dated 29 </w:t>
      </w:r>
      <w:r w:rsidRPr="00DB4B3A">
        <w:rPr>
          <w:rFonts w:ascii="Times New Roman" w:hAnsi="Times New Roman" w:cs="Times New Roman"/>
          <w:lang w:val="en-US"/>
        </w:rPr>
        <w:t>November 1947</w:t>
      </w:r>
      <w:r w:rsidR="00DF445D" w:rsidRPr="00DB4B3A">
        <w:rPr>
          <w:rFonts w:ascii="Times New Roman" w:hAnsi="Times New Roman" w:cs="Times New Roman"/>
          <w:lang w:val="en-US"/>
        </w:rPr>
        <w:t xml:space="preserve">, it </w:t>
      </w:r>
      <w:r w:rsidRPr="00DB4B3A">
        <w:rPr>
          <w:rFonts w:ascii="Times New Roman" w:hAnsi="Times New Roman" w:cs="Times New Roman"/>
          <w:lang w:val="en-US"/>
        </w:rPr>
        <w:t xml:space="preserve">was decided that a separate administration under a special international regime </w:t>
      </w:r>
      <w:r w:rsidR="00DF445D" w:rsidRPr="00DB4B3A">
        <w:rPr>
          <w:rFonts w:ascii="Times New Roman" w:hAnsi="Times New Roman" w:cs="Times New Roman"/>
          <w:lang w:val="en-US"/>
        </w:rPr>
        <w:t>for</w:t>
      </w:r>
      <w:r w:rsidR="00DF445D" w:rsidRPr="00DB4B3A">
        <w:rPr>
          <w:rFonts w:ascii="Times New Roman" w:hAnsi="Times New Roman" w:cs="Times New Roman"/>
          <w:lang w:val="en-US"/>
        </w:rPr>
        <w:t xml:space="preserve"> Jerusalem </w:t>
      </w:r>
      <w:r w:rsidRPr="00DB4B3A">
        <w:rPr>
          <w:rFonts w:ascii="Times New Roman" w:hAnsi="Times New Roman" w:cs="Times New Roman"/>
          <w:lang w:val="en-US"/>
        </w:rPr>
        <w:t>would be established and that it would be administered by the United Nations.</w:t>
      </w:r>
    </w:p>
    <w:p w14:paraId="3301501D" w14:textId="2273B417" w:rsidR="00580573" w:rsidRPr="00DB4B3A" w:rsidRDefault="00DF445D" w:rsidP="00580573">
      <w:pPr>
        <w:ind w:right="0"/>
        <w:jc w:val="both"/>
        <w:rPr>
          <w:rFonts w:ascii="Times New Roman" w:hAnsi="Times New Roman" w:cs="Times New Roman"/>
          <w:lang w:val="en-US"/>
        </w:rPr>
      </w:pPr>
      <w:r w:rsidRPr="00DB4B3A">
        <w:rPr>
          <w:rFonts w:ascii="Times New Roman" w:hAnsi="Times New Roman" w:cs="Times New Roman"/>
          <w:lang w:val="en-US"/>
        </w:rPr>
        <w:t>The</w:t>
      </w:r>
      <w:r w:rsidR="00580573" w:rsidRPr="00DB4B3A">
        <w:rPr>
          <w:rFonts w:ascii="Times New Roman" w:hAnsi="Times New Roman" w:cs="Times New Roman"/>
          <w:lang w:val="en-US"/>
        </w:rPr>
        <w:t xml:space="preserve"> resolution 181 of the United Nations General Assembly has been partially implemented. The examination of the legal status of the city of Jerusalem within the framework of the United Nations Charter is of primary importance not only for the city of Jerusalem but also for the solution of the Palestinian problem.</w:t>
      </w:r>
    </w:p>
    <w:p w14:paraId="73C03318" w14:textId="45A6DA4D" w:rsidR="00267EF1" w:rsidRPr="00DB4B3A" w:rsidRDefault="00DB4B3A" w:rsidP="00580573">
      <w:pPr>
        <w:ind w:right="0"/>
        <w:jc w:val="both"/>
        <w:rPr>
          <w:rFonts w:ascii="Times New Roman" w:hAnsi="Times New Roman" w:cs="Times New Roman"/>
          <w:lang w:val="en-US"/>
        </w:rPr>
      </w:pPr>
      <w:r w:rsidRPr="00DB4B3A">
        <w:rPr>
          <w:rFonts w:ascii="Times New Roman" w:hAnsi="Times New Roman" w:cs="Times New Roman"/>
          <w:b/>
          <w:bCs/>
          <w:lang w:val="en-US"/>
        </w:rPr>
        <w:t xml:space="preserve">Key Words: </w:t>
      </w:r>
      <w:r w:rsidRPr="00DB4B3A">
        <w:rPr>
          <w:rFonts w:ascii="Times New Roman" w:hAnsi="Times New Roman" w:cs="Times New Roman"/>
          <w:lang w:val="en-US"/>
        </w:rPr>
        <w:t>United Nations, Jerusalem, Mandate System, the International Trusteeship System, Palestine</w:t>
      </w:r>
    </w:p>
    <w:p w14:paraId="379A9291" w14:textId="77777777" w:rsidR="00DB4B3A" w:rsidRDefault="00DB4B3A" w:rsidP="00267EF1">
      <w:pPr>
        <w:pStyle w:val="Textbody"/>
        <w:spacing w:after="160" w:line="270" w:lineRule="atLeast"/>
        <w:jc w:val="center"/>
        <w:rPr>
          <w:rFonts w:cs="Times New Roman"/>
          <w:b/>
          <w:bCs/>
          <w:sz w:val="22"/>
          <w:szCs w:val="22"/>
          <w:lang w:val="en-US"/>
        </w:rPr>
      </w:pPr>
    </w:p>
    <w:p w14:paraId="58EFA552" w14:textId="0C5BC4D3" w:rsidR="00267EF1" w:rsidRPr="00DB4B3A" w:rsidRDefault="00267EF1" w:rsidP="00267EF1">
      <w:pPr>
        <w:pStyle w:val="Textbody"/>
        <w:spacing w:after="160" w:line="270" w:lineRule="atLeast"/>
        <w:jc w:val="center"/>
        <w:rPr>
          <w:rFonts w:cs="Times New Roman"/>
          <w:b/>
          <w:bCs/>
          <w:sz w:val="22"/>
          <w:szCs w:val="22"/>
          <w:lang w:val="en-US"/>
        </w:rPr>
      </w:pPr>
      <w:proofErr w:type="spellStart"/>
      <w:r w:rsidRPr="00DB4B3A">
        <w:rPr>
          <w:rFonts w:cs="Times New Roman"/>
          <w:b/>
          <w:bCs/>
          <w:sz w:val="22"/>
          <w:szCs w:val="22"/>
          <w:lang w:val="en-US"/>
        </w:rPr>
        <w:t>Birleşmiş</w:t>
      </w:r>
      <w:proofErr w:type="spellEnd"/>
      <w:r w:rsidRPr="00DB4B3A">
        <w:rPr>
          <w:rFonts w:cs="Times New Roman"/>
          <w:b/>
          <w:bCs/>
          <w:sz w:val="22"/>
          <w:szCs w:val="22"/>
          <w:lang w:val="en-US"/>
        </w:rPr>
        <w:t xml:space="preserve"> </w:t>
      </w:r>
      <w:proofErr w:type="spellStart"/>
      <w:r w:rsidRPr="00DB4B3A">
        <w:rPr>
          <w:rFonts w:cs="Times New Roman"/>
          <w:b/>
          <w:bCs/>
          <w:sz w:val="22"/>
          <w:szCs w:val="22"/>
          <w:lang w:val="en-US"/>
        </w:rPr>
        <w:t>Milletler</w:t>
      </w:r>
      <w:proofErr w:type="spellEnd"/>
      <w:r w:rsidRPr="00DB4B3A">
        <w:rPr>
          <w:rFonts w:cs="Times New Roman"/>
          <w:b/>
          <w:bCs/>
          <w:sz w:val="22"/>
          <w:szCs w:val="22"/>
          <w:lang w:val="en-US"/>
        </w:rPr>
        <w:t xml:space="preserve"> </w:t>
      </w:r>
      <w:r w:rsidRPr="00DB4B3A">
        <w:rPr>
          <w:rFonts w:cs="Times New Roman"/>
          <w:b/>
          <w:bCs/>
          <w:sz w:val="22"/>
          <w:szCs w:val="22"/>
        </w:rPr>
        <w:t>Sözleşmesi</w:t>
      </w:r>
      <w:r w:rsidRPr="00DB4B3A">
        <w:rPr>
          <w:rFonts w:cs="Times New Roman"/>
          <w:b/>
          <w:bCs/>
          <w:sz w:val="22"/>
          <w:szCs w:val="22"/>
          <w:lang w:val="en-US"/>
        </w:rPr>
        <w:t xml:space="preserve">'ne </w:t>
      </w:r>
      <w:proofErr w:type="spellStart"/>
      <w:r w:rsidRPr="00DB4B3A">
        <w:rPr>
          <w:rFonts w:cs="Times New Roman"/>
          <w:b/>
          <w:bCs/>
          <w:sz w:val="22"/>
          <w:szCs w:val="22"/>
          <w:lang w:val="en-US"/>
        </w:rPr>
        <w:t>Göre</w:t>
      </w:r>
      <w:proofErr w:type="spellEnd"/>
      <w:r w:rsidRPr="00DB4B3A">
        <w:rPr>
          <w:rFonts w:cs="Times New Roman"/>
          <w:b/>
          <w:bCs/>
          <w:sz w:val="22"/>
          <w:szCs w:val="22"/>
          <w:lang w:val="en-US"/>
        </w:rPr>
        <w:t xml:space="preserve"> </w:t>
      </w:r>
      <w:proofErr w:type="spellStart"/>
      <w:r w:rsidRPr="00DB4B3A">
        <w:rPr>
          <w:rFonts w:cs="Times New Roman"/>
          <w:b/>
          <w:bCs/>
          <w:sz w:val="22"/>
          <w:szCs w:val="22"/>
          <w:lang w:val="en-US"/>
        </w:rPr>
        <w:t>Kudüs</w:t>
      </w:r>
      <w:proofErr w:type="spellEnd"/>
      <w:r w:rsidRPr="00DB4B3A">
        <w:rPr>
          <w:rFonts w:cs="Times New Roman"/>
          <w:b/>
          <w:bCs/>
          <w:sz w:val="22"/>
          <w:szCs w:val="22"/>
          <w:lang w:val="en-US"/>
        </w:rPr>
        <w:t xml:space="preserve"> </w:t>
      </w:r>
      <w:proofErr w:type="spellStart"/>
      <w:r w:rsidRPr="00DB4B3A">
        <w:rPr>
          <w:rFonts w:cs="Times New Roman"/>
          <w:b/>
          <w:bCs/>
          <w:sz w:val="22"/>
          <w:szCs w:val="22"/>
          <w:lang w:val="en-US"/>
        </w:rPr>
        <w:t>Şehrinin</w:t>
      </w:r>
      <w:proofErr w:type="spellEnd"/>
      <w:r w:rsidRPr="00DB4B3A">
        <w:rPr>
          <w:rFonts w:cs="Times New Roman"/>
          <w:b/>
          <w:bCs/>
          <w:sz w:val="22"/>
          <w:szCs w:val="22"/>
          <w:lang w:val="en-US"/>
        </w:rPr>
        <w:t xml:space="preserve"> </w:t>
      </w:r>
      <w:proofErr w:type="spellStart"/>
      <w:r w:rsidRPr="00DB4B3A">
        <w:rPr>
          <w:rFonts w:cs="Times New Roman"/>
          <w:b/>
          <w:bCs/>
          <w:sz w:val="22"/>
          <w:szCs w:val="22"/>
          <w:lang w:val="en-US"/>
        </w:rPr>
        <w:t>Unutulmuş</w:t>
      </w:r>
      <w:proofErr w:type="spellEnd"/>
      <w:r w:rsidRPr="00DB4B3A">
        <w:rPr>
          <w:rFonts w:cs="Times New Roman"/>
          <w:b/>
          <w:bCs/>
          <w:sz w:val="22"/>
          <w:szCs w:val="22"/>
          <w:lang w:val="en-US"/>
        </w:rPr>
        <w:t xml:space="preserve"> </w:t>
      </w:r>
      <w:proofErr w:type="spellStart"/>
      <w:r w:rsidRPr="00DB4B3A">
        <w:rPr>
          <w:rFonts w:cs="Times New Roman"/>
          <w:b/>
          <w:bCs/>
          <w:sz w:val="22"/>
          <w:szCs w:val="22"/>
          <w:lang w:val="en-US"/>
        </w:rPr>
        <w:t>Hukuki</w:t>
      </w:r>
      <w:proofErr w:type="spellEnd"/>
      <w:r w:rsidRPr="00DB4B3A">
        <w:rPr>
          <w:rFonts w:cs="Times New Roman"/>
          <w:b/>
          <w:bCs/>
          <w:sz w:val="22"/>
          <w:szCs w:val="22"/>
          <w:lang w:val="en-US"/>
        </w:rPr>
        <w:t xml:space="preserve"> </w:t>
      </w:r>
      <w:proofErr w:type="spellStart"/>
      <w:r w:rsidRPr="00DB4B3A">
        <w:rPr>
          <w:rFonts w:cs="Times New Roman"/>
          <w:b/>
          <w:bCs/>
          <w:sz w:val="22"/>
          <w:szCs w:val="22"/>
          <w:lang w:val="en-US"/>
        </w:rPr>
        <w:t>Statüsü</w:t>
      </w:r>
      <w:proofErr w:type="spellEnd"/>
    </w:p>
    <w:p w14:paraId="7CA61B38" w14:textId="77777777" w:rsidR="00267EF1" w:rsidRPr="00DB4B3A" w:rsidRDefault="00267EF1" w:rsidP="00267EF1">
      <w:pPr>
        <w:pStyle w:val="Textbody"/>
        <w:spacing w:after="160" w:line="270" w:lineRule="atLeast"/>
        <w:jc w:val="center"/>
        <w:rPr>
          <w:rFonts w:cs="Times New Roman"/>
          <w:sz w:val="22"/>
          <w:szCs w:val="22"/>
        </w:rPr>
      </w:pPr>
      <w:r w:rsidRPr="00DB4B3A">
        <w:rPr>
          <w:rFonts w:cs="Times New Roman"/>
          <w:sz w:val="22"/>
          <w:szCs w:val="22"/>
        </w:rPr>
        <w:t> </w:t>
      </w:r>
    </w:p>
    <w:p w14:paraId="42C902D0" w14:textId="3E0B7C69" w:rsidR="00267EF1" w:rsidRPr="00DB4B3A" w:rsidRDefault="00267EF1" w:rsidP="00267EF1">
      <w:pPr>
        <w:pStyle w:val="Textbody"/>
        <w:spacing w:after="160" w:line="270" w:lineRule="atLeast"/>
        <w:jc w:val="both"/>
        <w:rPr>
          <w:rFonts w:cs="Times New Roman"/>
          <w:sz w:val="22"/>
          <w:szCs w:val="22"/>
        </w:rPr>
      </w:pPr>
      <w:r w:rsidRPr="00DB4B3A">
        <w:rPr>
          <w:rFonts w:cs="Times New Roman"/>
          <w:sz w:val="22"/>
          <w:szCs w:val="22"/>
        </w:rPr>
        <w:t>1917'de Osmanlı İmparatorluğu Kudüs şehrini İngiltere`ye kaybetmesi sonrasında Kudüs'te bir İngiliz işgal askeri yönetimi 30 Haziran 1920'ye kadar sürmüştür. 25 Nisan 1920'de San Remo Konferansı'nda İngiltere'nin Birinci Dünya Savaşı sonrasında kurulmuş olan Milletler Cemiyeti' nin Manda Sistemi içerisinde Filistin için yönetimini devralması kararlaştırılmıştır. Kudüs şehrinin yönetimi 24 Temmuz 1922 tarihinde İngiltere`ye</w:t>
      </w:r>
      <w:r w:rsidR="00DF445D" w:rsidRPr="00DB4B3A">
        <w:rPr>
          <w:rFonts w:cs="Times New Roman"/>
          <w:sz w:val="22"/>
          <w:szCs w:val="22"/>
        </w:rPr>
        <w:t xml:space="preserve">, Milletler Cemiyeti </w:t>
      </w:r>
      <w:r w:rsidR="00DF445D" w:rsidRPr="00DB4B3A">
        <w:rPr>
          <w:rFonts w:cs="Times New Roman"/>
          <w:sz w:val="22"/>
          <w:szCs w:val="22"/>
        </w:rPr>
        <w:t>Sözleşmesi</w:t>
      </w:r>
      <w:r w:rsidR="00DF445D" w:rsidRPr="00DB4B3A">
        <w:rPr>
          <w:rFonts w:cs="Times New Roman"/>
          <w:sz w:val="22"/>
          <w:szCs w:val="22"/>
        </w:rPr>
        <w:t xml:space="preserve">`nin 22. Maddesi </w:t>
      </w:r>
      <w:r w:rsidR="00DF445D" w:rsidRPr="00DB4B3A">
        <w:rPr>
          <w:rFonts w:cs="Times New Roman"/>
          <w:sz w:val="22"/>
          <w:szCs w:val="22"/>
        </w:rPr>
        <w:t>kapsamında</w:t>
      </w:r>
      <w:r w:rsidRPr="00DB4B3A">
        <w:rPr>
          <w:rFonts w:cs="Times New Roman"/>
          <w:sz w:val="22"/>
          <w:szCs w:val="22"/>
        </w:rPr>
        <w:t xml:space="preserve"> </w:t>
      </w:r>
      <w:r w:rsidR="002B5E5F" w:rsidRPr="00DB4B3A">
        <w:rPr>
          <w:rFonts w:cs="Times New Roman"/>
          <w:sz w:val="22"/>
          <w:szCs w:val="22"/>
        </w:rPr>
        <w:t>Filistin Mandas</w:t>
      </w:r>
      <w:r w:rsidR="002B5E5F" w:rsidRPr="00DB4B3A">
        <w:rPr>
          <w:rFonts w:cs="Times New Roman"/>
          <w:sz w:val="22"/>
          <w:szCs w:val="22"/>
        </w:rPr>
        <w:t>ı</w:t>
      </w:r>
      <w:r w:rsidR="002B5E5F" w:rsidRPr="00DB4B3A">
        <w:rPr>
          <w:rFonts w:cs="Times New Roman"/>
          <w:sz w:val="22"/>
          <w:szCs w:val="22"/>
        </w:rPr>
        <w:t xml:space="preserve"> ile birlikte </w:t>
      </w:r>
      <w:r w:rsidRPr="00DB4B3A">
        <w:rPr>
          <w:rFonts w:cs="Times New Roman"/>
          <w:sz w:val="22"/>
          <w:szCs w:val="22"/>
        </w:rPr>
        <w:t>devredilmiştir.</w:t>
      </w:r>
    </w:p>
    <w:p w14:paraId="347DBC55" w14:textId="5DA6BB60" w:rsidR="00267EF1" w:rsidRPr="00DB4B3A" w:rsidRDefault="00267EF1" w:rsidP="00267EF1">
      <w:pPr>
        <w:pStyle w:val="Textbody"/>
        <w:spacing w:after="160" w:line="270" w:lineRule="atLeast"/>
        <w:jc w:val="both"/>
        <w:rPr>
          <w:rFonts w:cs="Times New Roman"/>
          <w:sz w:val="22"/>
          <w:szCs w:val="22"/>
        </w:rPr>
      </w:pPr>
      <w:r w:rsidRPr="00DB4B3A">
        <w:rPr>
          <w:rFonts w:cs="Times New Roman"/>
          <w:sz w:val="22"/>
          <w:szCs w:val="22"/>
        </w:rPr>
        <w:t>İkinci Dünya Savaşı sonrasında Birleşmiş Milletlerin kurulması ile birlikte Birleşmiş Milletler Sözleşmesi</w:t>
      </w:r>
      <w:r w:rsidRPr="00DB4B3A">
        <w:rPr>
          <w:rFonts w:cs="Times New Roman"/>
          <w:sz w:val="22"/>
          <w:szCs w:val="22"/>
        </w:rPr>
        <w:t>`</w:t>
      </w:r>
      <w:r w:rsidRPr="00DB4B3A">
        <w:rPr>
          <w:rFonts w:cs="Times New Roman"/>
          <w:sz w:val="22"/>
          <w:szCs w:val="22"/>
        </w:rPr>
        <w:t>nin 12. Bölümü, Uluslararası Vesayet Rejimi`ne dahil edilmiştir. Kudüs`te, Birleşmiş Milletler Genel Kurulu`nun 29 Kasım 1947 tarih ve 181 sayılı kararı ile özel bir uluslararası rejim altında ayrı bir yönetimin kurulması ve Birleşmiş Milletler tarafından yönetilmesi kararlaştırıımıştır.</w:t>
      </w:r>
    </w:p>
    <w:p w14:paraId="56AEC964" w14:textId="1278C4D3" w:rsidR="00267EF1" w:rsidRPr="00DB4B3A" w:rsidRDefault="00267EF1" w:rsidP="00267EF1">
      <w:pPr>
        <w:pStyle w:val="Textbody"/>
        <w:spacing w:after="160" w:line="270" w:lineRule="atLeast"/>
        <w:jc w:val="both"/>
        <w:rPr>
          <w:rFonts w:cs="Times New Roman"/>
          <w:sz w:val="22"/>
          <w:szCs w:val="22"/>
        </w:rPr>
      </w:pPr>
      <w:r w:rsidRPr="00DB4B3A">
        <w:rPr>
          <w:rFonts w:cs="Times New Roman"/>
          <w:sz w:val="22"/>
          <w:szCs w:val="22"/>
        </w:rPr>
        <w:t xml:space="preserve">Birleşmiş Milletler Genel Kurulu`nun 181 sayılı kararı bugüne kadar kısmen hayata geçmiştir. Kudüs şehrinin </w:t>
      </w:r>
      <w:r w:rsidR="00580573" w:rsidRPr="00DB4B3A">
        <w:rPr>
          <w:rFonts w:cs="Times New Roman"/>
          <w:sz w:val="22"/>
          <w:szCs w:val="22"/>
        </w:rPr>
        <w:t xml:space="preserve">hukuki </w:t>
      </w:r>
      <w:r w:rsidRPr="00DB4B3A">
        <w:rPr>
          <w:rFonts w:cs="Times New Roman"/>
          <w:sz w:val="22"/>
          <w:szCs w:val="22"/>
        </w:rPr>
        <w:t>statüsünün Birleşmiş Milletler Sözleşmesi çerçevesinde incelenmesi sadece Kudüs şehri için değil Filistin sorunu</w:t>
      </w:r>
      <w:r w:rsidRPr="00DB4B3A">
        <w:rPr>
          <w:rFonts w:cs="Times New Roman"/>
          <w:sz w:val="22"/>
          <w:szCs w:val="22"/>
        </w:rPr>
        <w:t xml:space="preserve">n </w:t>
      </w:r>
      <w:r w:rsidRPr="00DB4B3A">
        <w:rPr>
          <w:rFonts w:cs="Times New Roman"/>
          <w:sz w:val="22"/>
          <w:szCs w:val="22"/>
        </w:rPr>
        <w:t xml:space="preserve">çözümü açısından </w:t>
      </w:r>
      <w:r w:rsidRPr="00DB4B3A">
        <w:rPr>
          <w:rFonts w:cs="Times New Roman"/>
          <w:sz w:val="22"/>
          <w:szCs w:val="22"/>
        </w:rPr>
        <w:t xml:space="preserve">da </w:t>
      </w:r>
      <w:r w:rsidRPr="00DB4B3A">
        <w:rPr>
          <w:rFonts w:cs="Times New Roman"/>
          <w:sz w:val="22"/>
          <w:szCs w:val="22"/>
        </w:rPr>
        <w:t>birinci derece öneme sahiptir.</w:t>
      </w:r>
    </w:p>
    <w:p w14:paraId="767F3EFB" w14:textId="77777777" w:rsidR="00580573" w:rsidRPr="00DB4B3A" w:rsidRDefault="00580573" w:rsidP="00267EF1">
      <w:pPr>
        <w:pStyle w:val="Textbody"/>
        <w:spacing w:after="160" w:line="270" w:lineRule="atLeast"/>
        <w:jc w:val="both"/>
        <w:rPr>
          <w:rFonts w:cs="Times New Roman"/>
          <w:sz w:val="22"/>
          <w:szCs w:val="22"/>
        </w:rPr>
      </w:pPr>
    </w:p>
    <w:p w14:paraId="3A9D342E" w14:textId="45AC828B" w:rsidR="00580573" w:rsidRPr="00DB4B3A" w:rsidRDefault="00580573" w:rsidP="00267EF1">
      <w:pPr>
        <w:pStyle w:val="Textbody"/>
        <w:spacing w:after="160" w:line="270" w:lineRule="atLeast"/>
        <w:jc w:val="both"/>
        <w:rPr>
          <w:rFonts w:cs="Times New Roman"/>
          <w:sz w:val="22"/>
          <w:szCs w:val="22"/>
        </w:rPr>
      </w:pPr>
      <w:r w:rsidRPr="00DB4B3A">
        <w:rPr>
          <w:rFonts w:cs="Times New Roman"/>
          <w:b/>
          <w:bCs/>
          <w:sz w:val="22"/>
          <w:szCs w:val="22"/>
        </w:rPr>
        <w:t>Anahtar Kelimeler</w:t>
      </w:r>
      <w:r w:rsidRPr="00DB4B3A">
        <w:rPr>
          <w:rFonts w:cs="Times New Roman"/>
          <w:sz w:val="22"/>
          <w:szCs w:val="22"/>
        </w:rPr>
        <w:t xml:space="preserve">: </w:t>
      </w:r>
      <w:r w:rsidR="00DB4B3A" w:rsidRPr="00DB4B3A">
        <w:rPr>
          <w:rFonts w:cs="Times New Roman"/>
          <w:sz w:val="22"/>
          <w:szCs w:val="22"/>
        </w:rPr>
        <w:t>Birleşmiş Milletler , Kudüs ,  Manda Sistemi , Uluslararası Vesayet Sistemi, Filistin</w:t>
      </w:r>
    </w:p>
    <w:p w14:paraId="0A70EA3B" w14:textId="77777777" w:rsidR="00267EF1" w:rsidRPr="00DB4B3A" w:rsidRDefault="00267EF1" w:rsidP="00267EF1">
      <w:pPr>
        <w:pStyle w:val="Textbody"/>
        <w:spacing w:after="160" w:line="270" w:lineRule="atLeast"/>
        <w:jc w:val="both"/>
        <w:rPr>
          <w:rFonts w:cs="Times New Roman"/>
          <w:sz w:val="22"/>
          <w:szCs w:val="22"/>
        </w:rPr>
      </w:pPr>
      <w:r w:rsidRPr="00DB4B3A">
        <w:rPr>
          <w:rFonts w:cs="Times New Roman"/>
          <w:sz w:val="22"/>
          <w:szCs w:val="22"/>
        </w:rPr>
        <w:t> </w:t>
      </w:r>
    </w:p>
    <w:p w14:paraId="4B17539E" w14:textId="77777777" w:rsidR="00267EF1" w:rsidRPr="00DB4B3A" w:rsidRDefault="00267EF1">
      <w:pPr>
        <w:rPr>
          <w:rFonts w:ascii="Times New Roman" w:hAnsi="Times New Roman" w:cs="Times New Roman"/>
          <w:lang w:val="tr-TR"/>
        </w:rPr>
      </w:pPr>
    </w:p>
    <w:sectPr w:rsidR="00267EF1" w:rsidRPr="00DB4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1"/>
    <w:rsid w:val="00195F6C"/>
    <w:rsid w:val="00267EF1"/>
    <w:rsid w:val="002B5E5F"/>
    <w:rsid w:val="00344E0A"/>
    <w:rsid w:val="003453DC"/>
    <w:rsid w:val="00453543"/>
    <w:rsid w:val="0050178F"/>
    <w:rsid w:val="00541D1F"/>
    <w:rsid w:val="00580573"/>
    <w:rsid w:val="005971D6"/>
    <w:rsid w:val="00A75730"/>
    <w:rsid w:val="00C17AD1"/>
    <w:rsid w:val="00C65277"/>
    <w:rsid w:val="00CF0014"/>
    <w:rsid w:val="00DB4B3A"/>
    <w:rsid w:val="00DF0024"/>
    <w:rsid w:val="00DF445D"/>
    <w:rsid w:val="00E34C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0277"/>
  <w15:chartTrackingRefBased/>
  <w15:docId w15:val="{9DE05DBF-79A3-4C5F-AB4B-FE8CFAF0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ind w:right="-141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7E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67E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67EF1"/>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67EF1"/>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67EF1"/>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67E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E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E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E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EF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67EF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67EF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67EF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67EF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67E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E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E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EF1"/>
    <w:rPr>
      <w:rFonts w:eastAsiaTheme="majorEastAsia" w:cstheme="majorBidi"/>
      <w:color w:val="272727" w:themeColor="text1" w:themeTint="D8"/>
    </w:rPr>
  </w:style>
  <w:style w:type="paragraph" w:styleId="Titre">
    <w:name w:val="Title"/>
    <w:basedOn w:val="Normal"/>
    <w:next w:val="Normal"/>
    <w:link w:val="TitreCar"/>
    <w:uiPriority w:val="10"/>
    <w:qFormat/>
    <w:rsid w:val="0026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E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E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E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EF1"/>
    <w:pPr>
      <w:spacing w:before="160"/>
      <w:jc w:val="center"/>
    </w:pPr>
    <w:rPr>
      <w:i/>
      <w:iCs/>
      <w:color w:val="404040" w:themeColor="text1" w:themeTint="BF"/>
    </w:rPr>
  </w:style>
  <w:style w:type="character" w:customStyle="1" w:styleId="CitationCar">
    <w:name w:val="Citation Car"/>
    <w:basedOn w:val="Policepardfaut"/>
    <w:link w:val="Citation"/>
    <w:uiPriority w:val="29"/>
    <w:rsid w:val="00267EF1"/>
    <w:rPr>
      <w:i/>
      <w:iCs/>
      <w:color w:val="404040" w:themeColor="text1" w:themeTint="BF"/>
    </w:rPr>
  </w:style>
  <w:style w:type="paragraph" w:styleId="Paragraphedeliste">
    <w:name w:val="List Paragraph"/>
    <w:basedOn w:val="Normal"/>
    <w:uiPriority w:val="34"/>
    <w:qFormat/>
    <w:rsid w:val="00267EF1"/>
    <w:pPr>
      <w:ind w:left="720"/>
      <w:contextualSpacing/>
    </w:pPr>
  </w:style>
  <w:style w:type="character" w:styleId="Accentuationintense">
    <w:name w:val="Intense Emphasis"/>
    <w:basedOn w:val="Policepardfaut"/>
    <w:uiPriority w:val="21"/>
    <w:qFormat/>
    <w:rsid w:val="00267EF1"/>
    <w:rPr>
      <w:i/>
      <w:iCs/>
      <w:color w:val="2E74B5" w:themeColor="accent1" w:themeShade="BF"/>
    </w:rPr>
  </w:style>
  <w:style w:type="paragraph" w:styleId="Citationintense">
    <w:name w:val="Intense Quote"/>
    <w:basedOn w:val="Normal"/>
    <w:next w:val="Normal"/>
    <w:link w:val="CitationintenseCar"/>
    <w:uiPriority w:val="30"/>
    <w:qFormat/>
    <w:rsid w:val="00267E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67EF1"/>
    <w:rPr>
      <w:i/>
      <w:iCs/>
      <w:color w:val="2E74B5" w:themeColor="accent1" w:themeShade="BF"/>
    </w:rPr>
  </w:style>
  <w:style w:type="character" w:styleId="Rfrenceintense">
    <w:name w:val="Intense Reference"/>
    <w:basedOn w:val="Policepardfaut"/>
    <w:uiPriority w:val="32"/>
    <w:qFormat/>
    <w:rsid w:val="00267EF1"/>
    <w:rPr>
      <w:b/>
      <w:bCs/>
      <w:smallCaps/>
      <w:color w:val="2E74B5" w:themeColor="accent1" w:themeShade="BF"/>
      <w:spacing w:val="5"/>
    </w:rPr>
  </w:style>
  <w:style w:type="paragraph" w:customStyle="1" w:styleId="Textbody">
    <w:name w:val="Text body"/>
    <w:basedOn w:val="Normal"/>
    <w:rsid w:val="00267EF1"/>
    <w:pPr>
      <w:widowControl w:val="0"/>
      <w:suppressAutoHyphens/>
      <w:autoSpaceDN w:val="0"/>
      <w:spacing w:after="120" w:line="240" w:lineRule="auto"/>
      <w:ind w:right="0"/>
      <w:textAlignment w:val="baseline"/>
    </w:pPr>
    <w:rPr>
      <w:rFonts w:ascii="Times New Roman" w:eastAsia="SimSun" w:hAnsi="Times New Roman" w:cs="Arial"/>
      <w:kern w:val="3"/>
      <w:sz w:val="24"/>
      <w:szCs w:val="24"/>
      <w:lang w:val="tr-TR"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467</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Back</dc:creator>
  <cp:keywords/>
  <dc:description/>
  <cp:lastModifiedBy>Jade Back</cp:lastModifiedBy>
  <cp:revision>2</cp:revision>
  <dcterms:created xsi:type="dcterms:W3CDTF">2024-08-23T12:28:00Z</dcterms:created>
  <dcterms:modified xsi:type="dcterms:W3CDTF">2024-08-23T13:33:00Z</dcterms:modified>
</cp:coreProperties>
</file>