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A6" w:rsidRPr="001913A6" w:rsidRDefault="001913A6" w:rsidP="00A2286F">
      <w:pPr>
        <w:autoSpaceDE w:val="0"/>
        <w:autoSpaceDN w:val="0"/>
        <w:adjustRightInd w:val="0"/>
        <w:spacing w:line="22" w:lineRule="atLeast"/>
        <w:ind w:firstLine="0"/>
        <w:jc w:val="both"/>
        <w:rPr>
          <w:rFonts w:ascii="Times New Roman" w:hAnsi="Times New Roman"/>
          <w:b/>
          <w:color w:val="000000"/>
        </w:rPr>
      </w:pPr>
      <w:r w:rsidRPr="001913A6">
        <w:rPr>
          <w:rFonts w:ascii="Times New Roman" w:hAnsi="Times New Roman"/>
          <w:b/>
          <w:color w:val="000000"/>
        </w:rPr>
        <w:t>Giriş</w:t>
      </w:r>
    </w:p>
    <w:p w:rsidR="001913A6" w:rsidRPr="00F26EB9" w:rsidRDefault="001913A6"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 xml:space="preserve">Günümüzden binlerce yıl öncesinde insanlar doğanın içinde, doğayla birlikte yaşamaktaydı. İnsan doğadan yani dünyadan ayrı bir bilinçte değil, dünya-insan ilişkisini bütün olarak algılar ve bu yaklaşımla hareket ederdi. </w:t>
      </w:r>
    </w:p>
    <w:p w:rsidR="001913A6" w:rsidRPr="00F26EB9" w:rsidRDefault="001913A6"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Şamanizm gibi mitolojik gelenekle yaşayan insan; doğaya saygılı, doğal kaynaklarla yaşayan, onlarla hareket eden, bedensel ve ruhsal ihtiyaçlarını doğadan temin eden, doğanın bir parçası anlayışı içindeydi. İlahi dinler döneminin gelmesiyle birlikte bu anlayış büyük ölçüde değişmiş; doğanın bir parçası olan insan artık doğanın efendisi rolüne bürünmüştür. Bu yaklaşım kutsal gördükleri ve saygı duydukları doğaya olan saygının azalmasına hatta yok olmasına sebep olmuştur. İnsan artık doğanın bir parçası olmaktan çıkmış, doğal unsurları bir materyal olarak görmeye başlamıştır. Dolayısıyla bu materyalleri kullanma ve hükmetme fikri açığa çıkmıştır.</w:t>
      </w:r>
      <w:bookmarkStart w:id="0" w:name="_GoBack"/>
      <w:bookmarkEnd w:id="0"/>
    </w:p>
    <w:p w:rsidR="001913A6" w:rsidRPr="00F26EB9" w:rsidRDefault="001913A6"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 xml:space="preserve">Her ne kadar zihinsel değişimler yaşansa da Yaratıcının doğayı nimet olarak insanın hizmetine sunması, ona saygılı davranmayı gerektirmekteydi. Ayrıca deprem, sel, kuraklık gibi doğal felaketler ile insanların cezalandırılması inancıyla birlikte ilk dönemlerden farklı da olsa saygı hala var olmaktaydı. İlahi dinler döneminde yaşanan değişim yalnız dinsel bir düşünce değil insanın insana hükmetme arzusuydu. </w:t>
      </w:r>
    </w:p>
    <w:p w:rsidR="001913A6" w:rsidRDefault="001913A6"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Anadolu toprakları tarih boyunca çeşitli büyüklü ve öneme sahip pekçok medeniyete ev sahipliği yapmıştır. Coğrafi konumu nedeni ile de bu coğrafya bir çok medeniyetin etkileşiminin kavşak noktası olma özelliğine sahip olmuştur (Aktaş, 2014). Bu süreçte insan-doğa iletişimi zayıflamış olsa da asıl kopuş modernleşme ile başlayıp kapitalizmle devam eden süreçte meydana gelmiştir. Bu süreç içinde kapitalizm yalnız üretim ve tüketim alışkanlıklarını değiştirmemiş, kültürel erozyona da sebep olmuştur. Birbirleriyle tümleşik yaşayan tüm devletler ve milletler gibi Türk kültürü de bundan nasibini almıştır.</w:t>
      </w:r>
    </w:p>
    <w:p w:rsidR="001913A6" w:rsidRDefault="001913A6" w:rsidP="00A2286F">
      <w:pPr>
        <w:autoSpaceDE w:val="0"/>
        <w:autoSpaceDN w:val="0"/>
        <w:adjustRightInd w:val="0"/>
        <w:spacing w:line="22" w:lineRule="atLeast"/>
        <w:jc w:val="both"/>
        <w:rPr>
          <w:rFonts w:ascii="Times New Roman" w:hAnsi="Times New Roman"/>
          <w:color w:val="000000"/>
        </w:rPr>
      </w:pPr>
    </w:p>
    <w:p w:rsidR="001913A6" w:rsidRDefault="001913A6" w:rsidP="00A2286F">
      <w:pPr>
        <w:autoSpaceDE w:val="0"/>
        <w:autoSpaceDN w:val="0"/>
        <w:adjustRightInd w:val="0"/>
        <w:spacing w:line="22" w:lineRule="atLeast"/>
        <w:ind w:firstLine="0"/>
        <w:jc w:val="both"/>
        <w:rPr>
          <w:rFonts w:ascii="Times New Roman" w:hAnsi="Times New Roman"/>
          <w:b/>
          <w:color w:val="000000"/>
        </w:rPr>
      </w:pPr>
      <w:r w:rsidRPr="001913A6">
        <w:rPr>
          <w:rFonts w:ascii="Times New Roman" w:hAnsi="Times New Roman"/>
          <w:b/>
          <w:color w:val="000000"/>
        </w:rPr>
        <w:t xml:space="preserve">Sürdürülebilir Toplum </w:t>
      </w:r>
    </w:p>
    <w:p w:rsidR="001913A6" w:rsidRPr="00F26EB9" w:rsidRDefault="001913A6" w:rsidP="00A2286F">
      <w:pPr>
        <w:autoSpaceDE w:val="0"/>
        <w:autoSpaceDN w:val="0"/>
        <w:adjustRightInd w:val="0"/>
        <w:spacing w:line="22" w:lineRule="atLeast"/>
        <w:jc w:val="both"/>
        <w:rPr>
          <w:rFonts w:ascii="Times New Roman" w:hAnsi="Times New Roman"/>
          <w:color w:val="000000"/>
        </w:rPr>
      </w:pPr>
      <w:bookmarkStart w:id="1" w:name="_Hlk127876689"/>
      <w:r w:rsidRPr="00F26EB9">
        <w:rPr>
          <w:rFonts w:ascii="Times New Roman" w:hAnsi="Times New Roman"/>
          <w:color w:val="000000"/>
          <w:shd w:val="clear" w:color="auto" w:fill="FFFFFF"/>
        </w:rPr>
        <w:t xml:space="preserve">Sürdürülebilir toplum bireyi tüketici, toplumsal varlığı bir pazar olarak görmek yerine; kişisel, sosyal ve çevresel sağlığı, kurumsal ve çevresel varlıkları geliştirmeyi amaçlamalıdır. Ernest Callenbach’ın dediği gibi “Sürdürülebilir bir toplum, ihtiyaçlarını gelecekteki </w:t>
      </w:r>
      <w:r w:rsidRPr="00F26EB9">
        <w:rPr>
          <w:rFonts w:ascii="Times New Roman" w:hAnsi="Times New Roman"/>
          <w:color w:val="000000"/>
          <w:shd w:val="clear" w:color="auto" w:fill="FFFFFF"/>
        </w:rPr>
        <w:lastRenderedPageBreak/>
        <w:t>nesillerin beklentilerini yok etmeden karşılayan toplumdur.” (Ekoloji Cep Rehberi, 2012).</w:t>
      </w:r>
    </w:p>
    <w:bookmarkEnd w:id="1"/>
    <w:p w:rsidR="001913A6" w:rsidRPr="00F26EB9" w:rsidRDefault="001913A6"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Sürdürülebilir toplumun herhangi bir standartı veya kalıbı olmamasına rağmen bazı özellikleri bulunmaktadır. Bunlar;</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Aktiflik, Kapsayıcılık, Güvenlik:</w:t>
      </w:r>
      <w:r w:rsidRPr="00F26EB9">
        <w:rPr>
          <w:rFonts w:ascii="Times New Roman" w:hAnsi="Times New Roman"/>
          <w:color w:val="000000"/>
        </w:rPr>
        <w:t xml:space="preserve"> Güçlü bir yerel kültür ve diğer ortak topluluk etkinlikleriyle ortaya çıkan eşitlik, hoşgörü ve bağlılık.</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İyi İdare:</w:t>
      </w:r>
      <w:r w:rsidRPr="00F26EB9">
        <w:rPr>
          <w:rFonts w:ascii="Times New Roman" w:hAnsi="Times New Roman"/>
          <w:color w:val="000000"/>
        </w:rPr>
        <w:t xml:space="preserve"> Etkin ve kapsayıcı katılım, temsil ve liderlik.</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İyi Ulaşım:</w:t>
      </w:r>
      <w:r w:rsidRPr="00F26EB9">
        <w:rPr>
          <w:rFonts w:ascii="Times New Roman" w:hAnsi="Times New Roman"/>
          <w:color w:val="000000"/>
        </w:rPr>
        <w:t xml:space="preserve"> İnsanları işlerine, okullarına, sağlık hizmetleri ve diğer hizmetlere bağlayacak iyi ulaşım hizmetleri.</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İyi Hizmet:</w:t>
      </w:r>
      <w:r w:rsidRPr="00F26EB9">
        <w:rPr>
          <w:rFonts w:ascii="Times New Roman" w:hAnsi="Times New Roman"/>
          <w:color w:val="000000"/>
        </w:rPr>
        <w:t xml:space="preserve"> İnsanların ihtiyaçlarına uygun ve herkes tarafından erişilebilecek kamusal, özel, topluluğa ilişkin ve gönüllü hizmetler.</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Çevreye Duyarlılık:</w:t>
      </w:r>
      <w:r w:rsidRPr="00F26EB9">
        <w:rPr>
          <w:rFonts w:ascii="Times New Roman" w:hAnsi="Times New Roman"/>
          <w:color w:val="000000"/>
        </w:rPr>
        <w:t xml:space="preserve"> İnsanların yaşaması için, çevreye saygılı olarak gerçekleştirilen yerler.</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İyi Gelişim:</w:t>
      </w:r>
      <w:r w:rsidRPr="00F26EB9">
        <w:rPr>
          <w:rFonts w:ascii="Times New Roman" w:hAnsi="Times New Roman"/>
          <w:color w:val="000000"/>
        </w:rPr>
        <w:t xml:space="preserve"> Büyüyen, çeşitli ve yenilikçi yerel ekonomi.</w:t>
      </w:r>
    </w:p>
    <w:p w:rsidR="001913A6" w:rsidRPr="00F26EB9"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İyi Tasarım ve İnşaat:</w:t>
      </w:r>
      <w:r w:rsidRPr="00F26EB9">
        <w:rPr>
          <w:rFonts w:ascii="Times New Roman" w:hAnsi="Times New Roman"/>
          <w:color w:val="000000"/>
        </w:rPr>
        <w:t xml:space="preserve"> Kaliteli bir yapılı ve doğal çevre.</w:t>
      </w:r>
    </w:p>
    <w:p w:rsidR="001913A6" w:rsidRDefault="001913A6" w:rsidP="00A2286F">
      <w:pPr>
        <w:pStyle w:val="ListeParagraf"/>
        <w:numPr>
          <w:ilvl w:val="0"/>
          <w:numId w:val="1"/>
        </w:numPr>
        <w:autoSpaceDE w:val="0"/>
        <w:autoSpaceDN w:val="0"/>
        <w:adjustRightInd w:val="0"/>
        <w:spacing w:after="120" w:line="22" w:lineRule="atLeast"/>
        <w:rPr>
          <w:rFonts w:ascii="Times New Roman" w:hAnsi="Times New Roman"/>
          <w:color w:val="000000"/>
        </w:rPr>
      </w:pPr>
      <w:r w:rsidRPr="00F26EB9">
        <w:rPr>
          <w:rFonts w:ascii="Times New Roman" w:hAnsi="Times New Roman"/>
          <w:b/>
          <w:bCs/>
          <w:color w:val="000000"/>
        </w:rPr>
        <w:t>Herkes İçin Eşitlik:</w:t>
      </w:r>
      <w:r w:rsidRPr="00F26EB9">
        <w:rPr>
          <w:rFonts w:ascii="Times New Roman" w:hAnsi="Times New Roman"/>
          <w:color w:val="000000"/>
        </w:rPr>
        <w:t xml:space="preserve"> Bugün ve gelecekteki tüm toplulukları içeren bir anlayış (Tağmat, 2006).</w:t>
      </w:r>
    </w:p>
    <w:p w:rsidR="006E3BA1" w:rsidRDefault="006E3BA1" w:rsidP="00A2286F">
      <w:pPr>
        <w:spacing w:line="22" w:lineRule="atLeast"/>
        <w:ind w:firstLine="0"/>
        <w:jc w:val="both"/>
        <w:rPr>
          <w:rFonts w:ascii="Times New Roman" w:hAnsi="Times New Roman"/>
          <w:b/>
          <w:lang w:val="fr-FR"/>
        </w:rPr>
      </w:pPr>
      <w:r w:rsidRPr="006E3BA1">
        <w:rPr>
          <w:rFonts w:ascii="Times New Roman" w:hAnsi="Times New Roman"/>
          <w:b/>
          <w:lang w:val="fr-FR"/>
        </w:rPr>
        <w:t>Şamanizm’de İnsan-Doğa İlişkisi</w:t>
      </w:r>
    </w:p>
    <w:p w:rsidR="006E3BA1"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 xml:space="preserve">Gök tanrı inancına göre dünya üç kısımdan (gökyüzü, yeryüzü ve yeraltı) oluşmakta ve yeryüzünde yani Orta Dünya’da insanlar yaşamaktadır. Kam/Kaman veya Şaman olarak bilinen kişi ruhsal bağlantıyı sağlayan bilge, şifacı ve koruyucu görevi görmektedir. </w:t>
      </w:r>
      <w:r w:rsidRPr="00F26EB9">
        <w:rPr>
          <w:rFonts w:ascii="Times New Roman" w:hAnsi="Times New Roman"/>
        </w:rPr>
        <w:t xml:space="preserve">Ancak dini ve şifacı yönleri dışında Şaman’ın toplumsal yapı içerisinde topluluk ve yöneten arasında bir “aracı”, topluluktan topluma geçişte sosyolojik bir figür olmak gibi görevleri de bulunmaktadır. </w:t>
      </w:r>
      <w:r w:rsidRPr="00F26EB9">
        <w:rPr>
          <w:rFonts w:ascii="Times New Roman" w:hAnsi="Times New Roman"/>
          <w:color w:val="000000"/>
        </w:rPr>
        <w:t>Bu inanç sistemine Şamanizm, dini önderine Şaman adı verilmektedir. Şamanizm’in temelinde insan ve doğa birlikteliği vardır. Bu inanç sistemine göre dünyada var olan her şeyin bir ruhu vardır. Su, ağaç, dağ, hayvan gibi çeşitli varlıkların ruhlarını kutsal kabul etmiş ve saygı göstermişlerdir. Kutsal kabul edilen bu inanç değerlerine kült denilmektedir.</w:t>
      </w:r>
    </w:p>
    <w:p w:rsidR="006E3BA1" w:rsidRPr="00F26EB9" w:rsidRDefault="006E3BA1" w:rsidP="00A2286F">
      <w:pPr>
        <w:spacing w:line="22" w:lineRule="atLeast"/>
        <w:ind w:firstLine="0"/>
        <w:jc w:val="both"/>
        <w:rPr>
          <w:rFonts w:ascii="Times New Roman" w:hAnsi="Times New Roman"/>
          <w:b/>
          <w:lang w:val="fr-FR"/>
        </w:rPr>
      </w:pPr>
      <w:r w:rsidRPr="00F26EB9">
        <w:rPr>
          <w:rFonts w:ascii="Times New Roman" w:hAnsi="Times New Roman"/>
          <w:b/>
          <w:lang w:val="fr-FR"/>
        </w:rPr>
        <w:t>Su Kültü</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 xml:space="preserve">Su kültü yer-su ve ruh-su ilişkisi içinde incelenmektedir. Dört elementten biri olan su; yaratılışın temeli, yaşam kaynağı olarak kabul edilmiş ve kutsallık atfedilmiştir. Suyun ölümsüzlük ve sonsuzluk </w:t>
      </w:r>
      <w:r w:rsidRPr="00F26EB9">
        <w:rPr>
          <w:rFonts w:ascii="Times New Roman" w:hAnsi="Times New Roman"/>
          <w:color w:val="000000"/>
        </w:rPr>
        <w:lastRenderedPageBreak/>
        <w:t xml:space="preserve">verme özelliği bengisu, İslamiyet’ten sonra ise Ab-ı Hayat anlamında kullanılmıştır. Suyun şifa ve koruma sağladığına inanılmaktadır. Suyun mukaddes olduğu inancı zemzem suyu ile devam etmektedir. </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Şamanizm inancında suyu kirletmek kesinlikle yasak kabul edilmiştir. Su toprağa can verir mahsul oluşur, insanları ve hayvanları besler; insanlar ve hayvanların su içme ihtiyacını karşılar; içindeki canlılara yaşam alanı sağlar. Suyu kirletmek, yaşamı kirletmektir.</w:t>
      </w:r>
    </w:p>
    <w:p w:rsidR="006E3BA1" w:rsidRPr="00F26EB9" w:rsidRDefault="006E3BA1" w:rsidP="00A2286F">
      <w:pPr>
        <w:spacing w:line="22" w:lineRule="atLeast"/>
        <w:ind w:firstLine="0"/>
        <w:jc w:val="both"/>
        <w:rPr>
          <w:rFonts w:ascii="Times New Roman" w:hAnsi="Times New Roman"/>
          <w:b/>
          <w:lang w:val="fr-FR"/>
        </w:rPr>
      </w:pPr>
      <w:r w:rsidRPr="00F26EB9">
        <w:rPr>
          <w:rFonts w:ascii="Times New Roman" w:hAnsi="Times New Roman"/>
          <w:b/>
          <w:lang w:val="fr-FR"/>
        </w:rPr>
        <w:t>Ağaç Kültü</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Bu inanç sisteminde ağaçların ruhu ve hissi olduğuna inanılmaktadır. Yapılan tahribatları, yaralanmaları hissettikleri düşünülür. Barınma veya yakacak ihtiyacını gidermek amacıyla kesim yapmak için ormana gidildiğinde ormandaki en yaşlı ağaçtan müsaade istenir; sonrasında ruhunun gittiği düşünülen kurumuş, yaralanmış ağaçlar kesim için uygun görülür ve kişinin/kişilerin ihtiyacı oranında kesim yapılırdı. Hatta ormandaki genç ağaçları korkutmamak adına kesim aletlerinin saklanarak götürüldüğü bilinmektedir.</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Türkler yaşadıkları her bölgede ağaca saygı duymuş ve bulundukları yerleri ağaçlandırmışlardır. Bu ağaçlar içinde kayın, çam, kavak, sedir, elma gibi ağaçları kutsal kabul etmişlerdir. Tanrı kutunu aldığı kabul edilen hayat ağacı meselesi vardır. Hemen her mitolojide karşımıza çıkan hayat ağacı; hayatın kaynağı olarak kabul edilmiş buna göre; kutsal ağacın yok oluşu hayatın bitişidir. Başka bir inanışa göre de bir bebek doğduğunda, doğan bebek için ağaç dikilir ve bebeğin ömrü ile ağacın ömrü arasında ilişki kurulurdu.</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Hayat Ağacının dünyanın yaratılışından beri var olduğuna inanılır. Bu inanışa göre Hayat Ağacı, dünyanın merkez noktasından, göğün yedi kat üzerine kadar uzanan, aynı zamanda köklerinin yeraltı dünyasına kadar inen, yer ile gök arasında ilişkiyi sağlayan kutsal bir varlıktır. Hayat ağacının ırkı, dini fark etmeksizin tüm milletlerde önemli olması, ağaç kültünün insanları birleştirme gücünü göstermektedir. Hayat ağacı, ebedi gençlik ve ölümsüzlük kaynağıdır. “Hayat Ağacı her zaman yeşil, her zaman çiçekli, her zaman meyve yüklü ve yiyeni ölümsüz kılan bütün ağaçları bünyesinde barındırır.” (Ergun, 2004, s. 155)</w:t>
      </w:r>
    </w:p>
    <w:p w:rsidR="006E3BA1" w:rsidRPr="00F26EB9" w:rsidRDefault="006E3BA1" w:rsidP="00A2286F">
      <w:pPr>
        <w:spacing w:line="22" w:lineRule="atLeast"/>
        <w:ind w:firstLine="0"/>
        <w:jc w:val="both"/>
        <w:rPr>
          <w:rFonts w:ascii="Times New Roman" w:hAnsi="Times New Roman"/>
          <w:b/>
          <w:lang w:val="fr-FR"/>
        </w:rPr>
      </w:pPr>
      <w:r w:rsidRPr="00F26EB9">
        <w:rPr>
          <w:rFonts w:ascii="Times New Roman" w:hAnsi="Times New Roman"/>
          <w:b/>
          <w:lang w:val="fr-FR"/>
        </w:rPr>
        <w:t>Hayvan Kültü</w:t>
      </w:r>
    </w:p>
    <w:p w:rsidR="006E3BA1" w:rsidRPr="00F26EB9"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 xml:space="preserve">Türkler geçmişten günümüze beslenme, ticaret, ulaşım, savaş aracı gibi hayatın her alanında yer alan ve daimî ilişki içinde </w:t>
      </w:r>
      <w:r w:rsidRPr="00F26EB9">
        <w:rPr>
          <w:rFonts w:ascii="Times New Roman" w:hAnsi="Times New Roman"/>
          <w:color w:val="000000"/>
        </w:rPr>
        <w:lastRenderedPageBreak/>
        <w:t>bulundukları hayvanlara karşı saygı gösteren bir anlayış geliştirmişlerdir. Büyük kağanların öldükten sonra binek hayvanlarıyla kurganlara gömülmesi, ruhsal yolculuklarına birlikte devam etme isteğinden kaynaklanmaktadır. Benzer gelenekler çeşitli toplumlarda da karşımıza çıkmaktadır.</w:t>
      </w:r>
    </w:p>
    <w:p w:rsidR="006E3BA1" w:rsidRDefault="006E3BA1" w:rsidP="00A2286F">
      <w:pPr>
        <w:autoSpaceDE w:val="0"/>
        <w:autoSpaceDN w:val="0"/>
        <w:adjustRightInd w:val="0"/>
        <w:spacing w:line="22" w:lineRule="atLeast"/>
        <w:jc w:val="both"/>
        <w:rPr>
          <w:rFonts w:ascii="Times New Roman" w:hAnsi="Times New Roman"/>
          <w:color w:val="000000"/>
        </w:rPr>
      </w:pPr>
      <w:r w:rsidRPr="00F26EB9">
        <w:rPr>
          <w:rFonts w:ascii="Times New Roman" w:hAnsi="Times New Roman"/>
          <w:color w:val="000000"/>
        </w:rPr>
        <w:t>Beslenme amacıyla avladıkları hayvanları meta olarak görmez; ruhuna saygı gösterilmesi gerektiği inancıyla hareket edilirdi. İhtiyaç fazlası avlanmak kesinlikle yasak kabul edilmiş, hayvanları en hızlı şekilde, eziyet etmeden avlamaya özen göstermişlerdir</w:t>
      </w:r>
      <w:r>
        <w:rPr>
          <w:rFonts w:ascii="Times New Roman" w:hAnsi="Times New Roman"/>
          <w:color w:val="000000"/>
        </w:rPr>
        <w:t>.</w:t>
      </w:r>
    </w:p>
    <w:p w:rsidR="006E3BA1" w:rsidRDefault="006E3BA1" w:rsidP="00A2286F">
      <w:pPr>
        <w:autoSpaceDE w:val="0"/>
        <w:autoSpaceDN w:val="0"/>
        <w:adjustRightInd w:val="0"/>
        <w:spacing w:line="22" w:lineRule="atLeast"/>
        <w:ind w:firstLine="0"/>
        <w:jc w:val="both"/>
        <w:rPr>
          <w:rFonts w:ascii="Times New Roman" w:hAnsi="Times New Roman"/>
          <w:b/>
          <w:color w:val="000000"/>
        </w:rPr>
      </w:pPr>
      <w:r w:rsidRPr="006E3BA1">
        <w:rPr>
          <w:rFonts w:ascii="Times New Roman" w:hAnsi="Times New Roman"/>
          <w:b/>
          <w:color w:val="000000"/>
        </w:rPr>
        <w:t>Bulgular</w:t>
      </w:r>
    </w:p>
    <w:p w:rsidR="006E3BA1" w:rsidRPr="00F26EB9" w:rsidRDefault="006E3BA1" w:rsidP="00A2286F">
      <w:pPr>
        <w:pStyle w:val="a"/>
        <w:tabs>
          <w:tab w:val="left" w:pos="397"/>
        </w:tabs>
        <w:spacing w:after="120" w:line="22" w:lineRule="atLeast"/>
        <w:jc w:val="both"/>
        <w:rPr>
          <w:rFonts w:ascii="Times New Roman" w:hAnsi="Times New Roman"/>
          <w:color w:val="0D0D0D"/>
          <w:sz w:val="22"/>
          <w:szCs w:val="22"/>
          <w:lang w:val="tr-TR"/>
        </w:rPr>
      </w:pPr>
      <w:r w:rsidRPr="00F26EB9">
        <w:rPr>
          <w:rFonts w:ascii="Times New Roman" w:hAnsi="Times New Roman"/>
          <w:color w:val="0D0D0D"/>
          <w:sz w:val="22"/>
          <w:szCs w:val="22"/>
          <w:lang w:val="tr-TR"/>
        </w:rPr>
        <w:t>Sürdürülebilir toplum bölümünde yer alan bazı özellikler ile Şamanizm arasındaki bağlantı aşağıdaki tabloda incelenmiştir.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63"/>
      </w:tblGrid>
      <w:tr w:rsidR="006E3BA1" w:rsidRPr="00F26EB9" w:rsidTr="006E3BA1">
        <w:tc>
          <w:tcPr>
            <w:tcW w:w="2263" w:type="dxa"/>
            <w:shd w:val="clear" w:color="auto" w:fill="auto"/>
          </w:tcPr>
          <w:p w:rsidR="006E3BA1" w:rsidRPr="00F26EB9" w:rsidRDefault="006E3BA1" w:rsidP="00A2286F">
            <w:pPr>
              <w:tabs>
                <w:tab w:val="left" w:pos="284"/>
              </w:tabs>
              <w:spacing w:line="22" w:lineRule="atLeast"/>
              <w:ind w:firstLine="0"/>
              <w:jc w:val="both"/>
              <w:rPr>
                <w:rFonts w:ascii="Times New Roman" w:hAnsi="Times New Roman"/>
                <w:b/>
                <w:bCs/>
                <w:iCs/>
              </w:rPr>
            </w:pPr>
            <w:r w:rsidRPr="00F26EB9">
              <w:rPr>
                <w:rFonts w:ascii="Times New Roman" w:hAnsi="Times New Roman"/>
                <w:b/>
                <w:bCs/>
                <w:iCs/>
              </w:rPr>
              <w:t>Sürdürülebilir Toplum Özellikleri</w:t>
            </w:r>
          </w:p>
        </w:tc>
        <w:tc>
          <w:tcPr>
            <w:tcW w:w="3963" w:type="dxa"/>
            <w:shd w:val="clear" w:color="auto" w:fill="auto"/>
          </w:tcPr>
          <w:p w:rsidR="006E3BA1" w:rsidRPr="00F26EB9" w:rsidRDefault="006E3BA1" w:rsidP="00A2286F">
            <w:pPr>
              <w:tabs>
                <w:tab w:val="left" w:pos="284"/>
              </w:tabs>
              <w:spacing w:line="22" w:lineRule="atLeast"/>
              <w:ind w:firstLine="0"/>
              <w:jc w:val="both"/>
              <w:rPr>
                <w:rFonts w:ascii="Times New Roman" w:hAnsi="Times New Roman"/>
                <w:b/>
                <w:bCs/>
                <w:iCs/>
              </w:rPr>
            </w:pPr>
            <w:r w:rsidRPr="00F26EB9">
              <w:rPr>
                <w:rFonts w:ascii="Times New Roman" w:hAnsi="Times New Roman"/>
                <w:b/>
                <w:bCs/>
                <w:iCs/>
              </w:rPr>
              <w:t>Şamanizm’de Toplum Özellikleri</w:t>
            </w:r>
          </w:p>
        </w:tc>
      </w:tr>
      <w:tr w:rsidR="006E3BA1" w:rsidRPr="00F26EB9" w:rsidTr="006E3BA1">
        <w:trPr>
          <w:trHeight w:val="1576"/>
        </w:trPr>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rPr>
              <w:t>Aktiflik, Kapsayıcılık, Güvenlik</w:t>
            </w:r>
          </w:p>
        </w:tc>
        <w:tc>
          <w:tcPr>
            <w:tcW w:w="39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iCs/>
              </w:rPr>
              <w:t xml:space="preserve">Eski </w:t>
            </w:r>
            <w:r w:rsidRPr="00F26EB9">
              <w:rPr>
                <w:rFonts w:ascii="Times New Roman" w:hAnsi="Times New Roman"/>
              </w:rPr>
              <w:t xml:space="preserve">Türkler farklı coğrafyalarda topluluk ve kabileler halinde yaşamışlardır. </w:t>
            </w:r>
          </w:p>
          <w:p w:rsidR="006E3BA1" w:rsidRPr="00F26EB9" w:rsidRDefault="006E3BA1" w:rsidP="00A2286F">
            <w:pPr>
              <w:pStyle w:val="AralkYok"/>
              <w:spacing w:after="120" w:line="22" w:lineRule="atLeast"/>
              <w:jc w:val="both"/>
              <w:rPr>
                <w:rFonts w:ascii="Times New Roman" w:hAnsi="Times New Roman"/>
                <w:iCs/>
              </w:rPr>
            </w:pPr>
            <w:r w:rsidRPr="00F26EB9">
              <w:rPr>
                <w:rFonts w:ascii="Times New Roman" w:hAnsi="Times New Roman"/>
              </w:rPr>
              <w:t>Bu toplulukları, kabileleri, kandaş örgütlenmeleri sosyo- ekonomik olarak incelemenin ve bunu bilimsel anlamda görebilmenin yolu, hayat tarzının bütünsel anlamda yansıdığı inanç sisteminden, dolayısıyla Şamanlıktan geçer (Roux, 2011, s. 63). Şaman’ın yalnızca dini yönü değil, topluluğun bir araya gelişinde veya toplum olma sürecinde birliktelik rolü de vardır.</w:t>
            </w:r>
          </w:p>
        </w:tc>
      </w:tr>
      <w:tr w:rsidR="006E3BA1" w:rsidRPr="00F26EB9" w:rsidTr="006E3BA1">
        <w:trPr>
          <w:trHeight w:val="1751"/>
        </w:trPr>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rPr>
              <w:t>İyi İdare</w:t>
            </w:r>
          </w:p>
        </w:tc>
        <w:tc>
          <w:tcPr>
            <w:tcW w:w="3963" w:type="dxa"/>
            <w:shd w:val="clear" w:color="auto" w:fill="auto"/>
          </w:tcPr>
          <w:p w:rsidR="006E3BA1" w:rsidRPr="00F26EB9" w:rsidRDefault="006E3BA1" w:rsidP="00A2286F">
            <w:pPr>
              <w:pStyle w:val="AralkYok"/>
              <w:spacing w:after="120" w:line="22" w:lineRule="atLeast"/>
              <w:jc w:val="both"/>
              <w:rPr>
                <w:rFonts w:ascii="Times New Roman" w:hAnsi="Times New Roman"/>
                <w:iCs/>
              </w:rPr>
            </w:pPr>
            <w:r w:rsidRPr="00F26EB9">
              <w:rPr>
                <w:rFonts w:ascii="Times New Roman" w:hAnsi="Times New Roman"/>
              </w:rPr>
              <w:t xml:space="preserve">Türk kağanlarının tanrıdan kut almaları sayesinde çeşitli güçlere ve niteliklere sahip oldukları inancı olmasına rağmen, Şaman’ın kağan seçiminde ve görevden azledilmesinde etkisi vardır. Kağan; toplumu bir arada tutmak, ayrılmaları önlemek, insanlar arasında adaleti sağlamak ve yaylakları bölüştürmek gibi çeşitli görevler edinmiştir. Ayrıca kağanın eşi olan Hatun, yönetimde söz sahibidir ve </w:t>
            </w:r>
            <w:r w:rsidRPr="00F26EB9">
              <w:rPr>
                <w:rFonts w:ascii="Times New Roman" w:hAnsi="Times New Roman"/>
              </w:rPr>
              <w:lastRenderedPageBreak/>
              <w:t>gerektiğinde kağanın görevlerini yerine getirme yetkisi vardır.</w:t>
            </w:r>
          </w:p>
        </w:tc>
      </w:tr>
      <w:tr w:rsidR="006E3BA1" w:rsidRPr="00F26EB9" w:rsidTr="006E3BA1">
        <w:trPr>
          <w:trHeight w:val="1778"/>
        </w:trPr>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rPr>
              <w:lastRenderedPageBreak/>
              <w:t>İyi Ulaşım</w:t>
            </w:r>
          </w:p>
        </w:tc>
        <w:tc>
          <w:tcPr>
            <w:tcW w:w="39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iCs/>
              </w:rPr>
              <w:t xml:space="preserve">Eski Türklerde şehirleşmeyi belirleyen unsurlar vardır. </w:t>
            </w:r>
            <w:r w:rsidRPr="00F26EB9">
              <w:rPr>
                <w:rFonts w:ascii="Times New Roman" w:hAnsi="Times New Roman"/>
              </w:rPr>
              <w:t xml:space="preserve">Bölgenin coğrafi konumu; ulaşım ağını, diğer yerleşim birimleri ile bağlantıyı ve yaşam tarzını etkilemektedir. </w:t>
            </w:r>
          </w:p>
          <w:p w:rsidR="006E3BA1" w:rsidRPr="00F26EB9" w:rsidRDefault="006E3BA1" w:rsidP="00A2286F">
            <w:pPr>
              <w:pStyle w:val="AralkYok"/>
              <w:spacing w:after="120" w:line="22" w:lineRule="atLeast"/>
              <w:jc w:val="both"/>
              <w:rPr>
                <w:rFonts w:ascii="Times New Roman" w:hAnsi="Times New Roman"/>
                <w:iCs/>
              </w:rPr>
            </w:pPr>
            <w:r w:rsidRPr="00F26EB9">
              <w:rPr>
                <w:rFonts w:ascii="Times New Roman" w:hAnsi="Times New Roman"/>
              </w:rPr>
              <w:t>Tarih boyunca ticaret yollarındaki kentler daha gelişmiş ve önemli mimari eserlere ev sahipliği yapmıştır (Ögel, 2000, s. 317). Bu bakımdan Türk toplulukları ticaret yolları üzerinde yaşamış ve diğer toplulular ile etkileşim içinde olmuştur.</w:t>
            </w:r>
          </w:p>
        </w:tc>
      </w:tr>
      <w:tr w:rsidR="006E3BA1" w:rsidRPr="00F26EB9" w:rsidTr="006E3BA1">
        <w:trPr>
          <w:trHeight w:val="669"/>
        </w:trPr>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i/>
              </w:rPr>
            </w:pPr>
            <w:r w:rsidRPr="00F26EB9">
              <w:rPr>
                <w:rFonts w:ascii="Times New Roman" w:hAnsi="Times New Roman"/>
              </w:rPr>
              <w:t>Çevreye Duyarlılık</w:t>
            </w:r>
          </w:p>
        </w:tc>
        <w:tc>
          <w:tcPr>
            <w:tcW w:w="3963" w:type="dxa"/>
            <w:shd w:val="clear" w:color="auto" w:fill="auto"/>
          </w:tcPr>
          <w:p w:rsidR="006E3BA1" w:rsidRPr="00F26EB9" w:rsidRDefault="006E3BA1" w:rsidP="00A2286F">
            <w:pPr>
              <w:pStyle w:val="AralkYok"/>
              <w:spacing w:after="120" w:line="22" w:lineRule="atLeast"/>
              <w:jc w:val="both"/>
              <w:rPr>
                <w:rFonts w:ascii="Times New Roman" w:hAnsi="Times New Roman"/>
                <w:iCs/>
              </w:rPr>
            </w:pPr>
            <w:r w:rsidRPr="00F26EB9">
              <w:rPr>
                <w:rFonts w:ascii="Times New Roman" w:hAnsi="Times New Roman"/>
                <w:color w:val="000000"/>
              </w:rPr>
              <w:t>Eski Türkler doğayı tüketilmesi gereken bir kaynak olarak değil, kendileri için bir yaşam alanı ve kendilerini de onun bir parçası olarak kabul etmişlerdir.</w:t>
            </w:r>
          </w:p>
        </w:tc>
      </w:tr>
      <w:tr w:rsidR="006E3BA1" w:rsidRPr="00F26EB9" w:rsidTr="006E3BA1">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rPr>
            </w:pPr>
            <w:r w:rsidRPr="00F26EB9">
              <w:rPr>
                <w:rFonts w:ascii="Times New Roman" w:hAnsi="Times New Roman"/>
              </w:rPr>
              <w:t>İyi Gelişim</w:t>
            </w:r>
          </w:p>
        </w:tc>
        <w:tc>
          <w:tcPr>
            <w:tcW w:w="3963" w:type="dxa"/>
            <w:shd w:val="clear" w:color="auto" w:fill="auto"/>
          </w:tcPr>
          <w:p w:rsidR="006E3BA1" w:rsidRPr="00F26EB9" w:rsidRDefault="006E3BA1" w:rsidP="00A2286F">
            <w:pPr>
              <w:spacing w:line="22" w:lineRule="atLeast"/>
              <w:jc w:val="both"/>
              <w:rPr>
                <w:rFonts w:ascii="Times New Roman" w:hAnsi="Times New Roman"/>
              </w:rPr>
            </w:pPr>
            <w:r w:rsidRPr="00F26EB9">
              <w:rPr>
                <w:rFonts w:ascii="Times New Roman" w:hAnsi="Times New Roman"/>
              </w:rPr>
              <w:t xml:space="preserve">Eski Türklerin sanayileri daha çok el işçiliği olarak değerlendirebileceğimiz işletmeler biçiminde görülmektedir. Maden ve maden yataklarının varlığı ve bu yatakların işletilmesi eski Türklerde sanayinin varlığının göstergesidir. Aynı zamanda maden işletmeciliği sahasındaki hünerlerini, savaş araç-gereçlerinde, hayvan koşum takımlarında ve ziynet eşyalarında görmek mümkündür. Türklerde gelişen bir diğer ekonomik unsur ticarettir. Ticaret sayesinde Türkler, ürettikleri ürünleri satabilmişler, ihtiyaç duyduklarını da satın almışlardır (Mandaloğlu, 2013). Asya Hunları, Göktürkler, Uygurlar Çin ile; Avrupa Hunları da Bizans ile ticaret antlaşmaları </w:t>
            </w:r>
            <w:r w:rsidRPr="00F26EB9">
              <w:rPr>
                <w:rFonts w:ascii="Times New Roman" w:hAnsi="Times New Roman"/>
              </w:rPr>
              <w:lastRenderedPageBreak/>
              <w:t>yapmışlardır (Kafesoğlu, 1993, s. 312). Eski Türkler, sınırlarda serbest ticaret pazarlarını kurmuşlardır. Tarihi kayıtlara göre, ilk serbest ticaret pazarı, Asya Hun Devleti ile Çin arasında kurulmuştur (Koca, 2002, s. 26 ).</w:t>
            </w:r>
          </w:p>
        </w:tc>
      </w:tr>
      <w:tr w:rsidR="006E3BA1" w:rsidRPr="00F26EB9" w:rsidTr="006E3BA1">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i/>
              </w:rPr>
            </w:pPr>
            <w:r w:rsidRPr="00F26EB9">
              <w:rPr>
                <w:rFonts w:ascii="Times New Roman" w:hAnsi="Times New Roman"/>
              </w:rPr>
              <w:lastRenderedPageBreak/>
              <w:t>İyi Tasarım ve İnşaat</w:t>
            </w:r>
          </w:p>
        </w:tc>
        <w:tc>
          <w:tcPr>
            <w:tcW w:w="3963" w:type="dxa"/>
            <w:shd w:val="clear" w:color="auto" w:fill="auto"/>
          </w:tcPr>
          <w:p w:rsidR="006E3BA1" w:rsidRPr="00F26EB9" w:rsidRDefault="006E3BA1" w:rsidP="00A2286F">
            <w:pPr>
              <w:spacing w:line="22" w:lineRule="atLeast"/>
              <w:jc w:val="both"/>
              <w:rPr>
                <w:rFonts w:ascii="Times New Roman" w:hAnsi="Times New Roman"/>
              </w:rPr>
            </w:pPr>
            <w:r w:rsidRPr="00F26EB9">
              <w:rPr>
                <w:rFonts w:ascii="Times New Roman" w:hAnsi="Times New Roman"/>
              </w:rPr>
              <w:t>Eski Türkler yerleşim yerlerini seçerken öncelikli olarak nehir, ırmak, göl gibi su kaynaklarının olduğu bölgeleri tercih etmişlerdir. Bu yüzdendir ki geçici olarak çadırlarını kurdukları yerlerde öncelikli olarak peyzajın iyi olması ve su kaynaklarına yakın olması düşünülmüştür (Frye, 2009, s. 56). Bu dönemde evler en yalın biçimde inşa edilip, doğa ile uyumu yapının önemli etkenidir. Yapıda kullanılan inşaat malzemelerinde kullandıkları yapı malzemeleri yaşadıkları doğaya uygun olarak taş, tuğla, kerpiç ve ahşap olmuştur.</w:t>
            </w:r>
          </w:p>
        </w:tc>
      </w:tr>
      <w:tr w:rsidR="006E3BA1" w:rsidRPr="00F26EB9" w:rsidTr="006E3BA1">
        <w:trPr>
          <w:trHeight w:val="538"/>
        </w:trPr>
        <w:tc>
          <w:tcPr>
            <w:tcW w:w="2263" w:type="dxa"/>
            <w:shd w:val="clear" w:color="auto" w:fill="auto"/>
          </w:tcPr>
          <w:p w:rsidR="006E3BA1" w:rsidRPr="00F26EB9" w:rsidRDefault="006E3BA1" w:rsidP="00A2286F">
            <w:pPr>
              <w:pStyle w:val="AralkYok"/>
              <w:spacing w:after="120" w:line="22" w:lineRule="atLeast"/>
              <w:jc w:val="both"/>
              <w:rPr>
                <w:rFonts w:ascii="Times New Roman" w:hAnsi="Times New Roman"/>
                <w:i/>
              </w:rPr>
            </w:pPr>
            <w:r w:rsidRPr="00F26EB9">
              <w:rPr>
                <w:rFonts w:ascii="Times New Roman" w:hAnsi="Times New Roman"/>
              </w:rPr>
              <w:t>Herkes İçin Eşitlik</w:t>
            </w:r>
          </w:p>
        </w:tc>
        <w:tc>
          <w:tcPr>
            <w:tcW w:w="3963" w:type="dxa"/>
            <w:shd w:val="clear" w:color="auto" w:fill="auto"/>
          </w:tcPr>
          <w:p w:rsidR="006E3BA1" w:rsidRPr="00F26EB9" w:rsidRDefault="006E3BA1" w:rsidP="00A2286F">
            <w:pPr>
              <w:pStyle w:val="AralkYok"/>
              <w:spacing w:after="120" w:line="22" w:lineRule="atLeast"/>
              <w:jc w:val="both"/>
              <w:rPr>
                <w:rFonts w:ascii="Times New Roman" w:hAnsi="Times New Roman"/>
                <w:iCs/>
              </w:rPr>
            </w:pPr>
            <w:r w:rsidRPr="00F26EB9">
              <w:rPr>
                <w:rFonts w:ascii="Times New Roman" w:hAnsi="Times New Roman"/>
              </w:rPr>
              <w:t>Türk kabile toplumlarında eşitlikçi, dayanışmacı bir yaşam tarzı vardır.</w:t>
            </w:r>
          </w:p>
        </w:tc>
      </w:tr>
    </w:tbl>
    <w:p w:rsidR="006E3BA1" w:rsidRPr="00F26EB9" w:rsidRDefault="006E3BA1" w:rsidP="00A2286F">
      <w:pPr>
        <w:tabs>
          <w:tab w:val="left" w:pos="284"/>
        </w:tabs>
        <w:spacing w:line="22" w:lineRule="atLeast"/>
        <w:ind w:firstLine="0"/>
        <w:jc w:val="both"/>
        <w:rPr>
          <w:rFonts w:ascii="Times New Roman" w:hAnsi="Times New Roman"/>
          <w:i/>
        </w:rPr>
      </w:pPr>
      <w:r>
        <w:rPr>
          <w:rFonts w:ascii="Times New Roman" w:hAnsi="Times New Roman"/>
          <w:color w:val="000000"/>
        </w:rPr>
        <w:t xml:space="preserve">Tablo 1: </w:t>
      </w:r>
      <w:r w:rsidRPr="00F26EB9">
        <w:rPr>
          <w:rFonts w:ascii="Times New Roman" w:hAnsi="Times New Roman"/>
          <w:i/>
        </w:rPr>
        <w:t>Sürdürülebilir Toplum Özelliklerinin Şamanizm’de ki Yeri</w:t>
      </w:r>
    </w:p>
    <w:p w:rsidR="006E3BA1" w:rsidRDefault="006E3BA1" w:rsidP="00A2286F">
      <w:pPr>
        <w:spacing w:line="22" w:lineRule="atLeast"/>
        <w:jc w:val="both"/>
        <w:rPr>
          <w:rFonts w:ascii="Times New Roman" w:eastAsia="Times New Roman" w:hAnsi="Times New Roman"/>
          <w:color w:val="0D0D0D"/>
          <w:lang w:val="tr-TR"/>
        </w:rPr>
      </w:pPr>
      <w:r w:rsidRPr="00F26EB9">
        <w:rPr>
          <w:rFonts w:ascii="Times New Roman" w:eastAsia="Times New Roman" w:hAnsi="Times New Roman"/>
          <w:color w:val="0D0D0D"/>
          <w:lang w:val="tr-TR"/>
        </w:rPr>
        <w:t xml:space="preserve">Tablo 1’de yer alan bilgiler doğrultusunda eski Türklerin yaşam biçimlerini incelediğimizde sürdürülebilir toplum anlayışı içinde yaşadıkları ve Şamanizm inancıyla yaşayan eski Türk kabilelerinin/topluluklarının, sürdürülebilir toplum özelliklerini taşıdığı görülmüştür. </w:t>
      </w:r>
    </w:p>
    <w:p w:rsidR="006E3BA1" w:rsidRPr="006E3BA1" w:rsidRDefault="006E3BA1" w:rsidP="00A2286F">
      <w:pPr>
        <w:spacing w:line="22" w:lineRule="atLeast"/>
        <w:ind w:firstLine="0"/>
        <w:jc w:val="both"/>
        <w:rPr>
          <w:rFonts w:ascii="Times New Roman" w:eastAsia="Times New Roman" w:hAnsi="Times New Roman"/>
          <w:b/>
          <w:color w:val="0D0D0D"/>
          <w:lang w:val="tr-TR"/>
        </w:rPr>
      </w:pPr>
      <w:r w:rsidRPr="006E3BA1">
        <w:rPr>
          <w:rFonts w:ascii="Times New Roman" w:eastAsia="Times New Roman" w:hAnsi="Times New Roman"/>
          <w:b/>
          <w:color w:val="0D0D0D"/>
          <w:lang w:val="tr-TR"/>
        </w:rPr>
        <w:t>Tartışma, Sonuç ve Öneriler</w:t>
      </w:r>
    </w:p>
    <w:p w:rsidR="006E3BA1" w:rsidRPr="00F26EB9" w:rsidRDefault="006E3BA1" w:rsidP="00A2286F">
      <w:pPr>
        <w:spacing w:line="22" w:lineRule="atLeast"/>
        <w:jc w:val="both"/>
        <w:rPr>
          <w:rFonts w:ascii="Times New Roman" w:eastAsia="Times New Roman" w:hAnsi="Times New Roman"/>
          <w:color w:val="0D0D0D"/>
          <w:lang w:val="tr-TR"/>
        </w:rPr>
      </w:pPr>
      <w:r w:rsidRPr="00F26EB9">
        <w:rPr>
          <w:rFonts w:ascii="Times New Roman" w:eastAsia="Times New Roman" w:hAnsi="Times New Roman"/>
          <w:color w:val="0D0D0D"/>
          <w:lang w:val="tr-TR"/>
        </w:rPr>
        <w:t>Şamanizm kesin olarak anlaşılamamakla birlikte tarihi 25.000 yıl öncesine dayandırılmaktadır. Milattan önce II. yüzyılda Çin kaynaklarından öğrenilen bilgilere göre; Şamanizm inancı bazı tesirler altında kalmasına rağmen, son devirlere kadar devam ettirilen bir yaşam biçimi olmuştur. Türk kavimlerinin örf, adet ve inançlarını, tesirlere rağmen muhafaza ettiği görülmüştür. Buna göre Şamanizm’in yalnızca dini bir anlayış biçimi olmadığı, toplumu yöneten ve yön veren bir yapıda olduğu anlaşılmaktadır.</w:t>
      </w:r>
    </w:p>
    <w:p w:rsidR="006E3BA1" w:rsidRPr="00F26EB9" w:rsidRDefault="006E3BA1" w:rsidP="00A2286F">
      <w:pPr>
        <w:spacing w:line="22" w:lineRule="atLeast"/>
        <w:jc w:val="both"/>
        <w:rPr>
          <w:rFonts w:ascii="Times New Roman" w:eastAsia="Times New Roman" w:hAnsi="Times New Roman"/>
          <w:color w:val="0D0D0D"/>
          <w:lang w:val="tr-TR"/>
        </w:rPr>
      </w:pPr>
      <w:r w:rsidRPr="00F26EB9">
        <w:rPr>
          <w:rFonts w:ascii="Times New Roman" w:eastAsia="Times New Roman" w:hAnsi="Times New Roman"/>
          <w:color w:val="0D0D0D"/>
          <w:lang w:val="tr-TR"/>
        </w:rPr>
        <w:lastRenderedPageBreak/>
        <w:t xml:space="preserve">Şamanizm’de doğada var olan her şeyin ruhu olduğu inancı, insanların doğaya saygılı yaşama bilincini geliştirmiştir. Doğal varlıkları ihtiyacı </w:t>
      </w:r>
      <w:proofErr w:type="gramStart"/>
      <w:r w:rsidRPr="00F26EB9">
        <w:rPr>
          <w:rFonts w:ascii="Times New Roman" w:eastAsia="Times New Roman" w:hAnsi="Times New Roman"/>
          <w:color w:val="0D0D0D"/>
          <w:lang w:val="tr-TR"/>
        </w:rPr>
        <w:t>dahilinde</w:t>
      </w:r>
      <w:proofErr w:type="gramEnd"/>
      <w:r w:rsidRPr="00F26EB9">
        <w:rPr>
          <w:rFonts w:ascii="Times New Roman" w:eastAsia="Times New Roman" w:hAnsi="Times New Roman"/>
          <w:color w:val="0D0D0D"/>
          <w:lang w:val="tr-TR"/>
        </w:rPr>
        <w:t xml:space="preserve"> tüketmeye, varlığını devam ettirebilmesi için korumaya özen göstermişlerdir. Bu davranış yalnızca insan-doğa ilişkisini değil, toplum-doğa ilişkisini güçlendirmiştir. Doğaya ve doğal kaynaklara zarar verilmesi büyük cezalara neden olmakta, hatta toplumdan dışlanma ve uzaklaştırma gibi katı kurallar ile korunmaktaydı. </w:t>
      </w:r>
    </w:p>
    <w:p w:rsidR="006E3BA1" w:rsidRPr="00F26EB9" w:rsidRDefault="006E3BA1" w:rsidP="00A2286F">
      <w:pPr>
        <w:spacing w:line="22" w:lineRule="atLeast"/>
        <w:jc w:val="both"/>
        <w:rPr>
          <w:rFonts w:ascii="Times New Roman" w:eastAsia="Times New Roman" w:hAnsi="Times New Roman"/>
          <w:color w:val="0D0D0D"/>
          <w:lang w:val="tr-TR"/>
        </w:rPr>
      </w:pPr>
      <w:r w:rsidRPr="00F26EB9">
        <w:rPr>
          <w:rFonts w:ascii="Times New Roman" w:eastAsia="Times New Roman" w:hAnsi="Times New Roman"/>
          <w:color w:val="0D0D0D"/>
          <w:lang w:val="tr-TR"/>
        </w:rPr>
        <w:t xml:space="preserve">Şamanizm; toplumlar arası etkileşimlerden, kültürel erozyonlardan, inanç tesirlerinden etkilenen ve değişime uğrayan bir yapıda olsa da etkisini hala devam ettirmektedir. Yeşil bir ağacı kesmenin günah olarak algılanması, tahtaya vurmak, kötü rüyaları suya anlatmak gibi bu tesirlerin etkisini hala görmekteyiz. </w:t>
      </w:r>
    </w:p>
    <w:p w:rsidR="006E3BA1" w:rsidRDefault="006E3BA1" w:rsidP="00A2286F">
      <w:pPr>
        <w:spacing w:line="22" w:lineRule="atLeast"/>
        <w:jc w:val="both"/>
        <w:rPr>
          <w:rFonts w:ascii="Times New Roman" w:eastAsia="Times New Roman" w:hAnsi="Times New Roman"/>
          <w:color w:val="0D0D0D"/>
          <w:lang w:val="tr-TR"/>
        </w:rPr>
      </w:pPr>
      <w:r w:rsidRPr="00F26EB9">
        <w:rPr>
          <w:rFonts w:ascii="Times New Roman" w:eastAsia="Times New Roman" w:hAnsi="Times New Roman"/>
          <w:color w:val="0D0D0D"/>
          <w:lang w:val="tr-TR"/>
        </w:rPr>
        <w:t xml:space="preserve">Sonuç olarak Şamanizm etkisini kaybetmiş olsa da genetik hafızada mevcut olan tesirleri devam etmektedir. Doğaya ve doğal kaynaklara saygı toplum bilincinde var olmakta, dolayısıyla davranışsal biçimi etkilemektedir. Geleneksel dünya görüşü ve genetik hafıza bilinci ile doğa sürdürülebilir kaynaklara dönüştürülüp, sürdürülebilir toplum anlayışı ile faaliyetler yürütülebilir. Böylelikle rekabet şartlarına uyum sağlarken, doğaya saygı ve koruma da devam etmiş olur. </w:t>
      </w:r>
    </w:p>
    <w:p w:rsidR="00E63AE0" w:rsidRPr="00E63AE0" w:rsidRDefault="00E63AE0" w:rsidP="00A2286F">
      <w:pPr>
        <w:spacing w:line="22" w:lineRule="atLeast"/>
        <w:ind w:firstLine="0"/>
        <w:jc w:val="both"/>
        <w:rPr>
          <w:rFonts w:ascii="Times New Roman" w:eastAsia="Times New Roman" w:hAnsi="Times New Roman"/>
          <w:b/>
          <w:color w:val="0D0D0D"/>
          <w:lang w:val="tr-TR"/>
        </w:rPr>
      </w:pPr>
      <w:r w:rsidRPr="00E63AE0">
        <w:rPr>
          <w:rFonts w:ascii="Times New Roman" w:eastAsia="Times New Roman" w:hAnsi="Times New Roman"/>
          <w:b/>
          <w:color w:val="0D0D0D"/>
          <w:lang w:val="tr-TR"/>
        </w:rPr>
        <w:t>Kaynakça</w:t>
      </w:r>
    </w:p>
    <w:p w:rsidR="00E63AE0" w:rsidRPr="00F26EB9" w:rsidRDefault="00E63AE0" w:rsidP="00A2286F">
      <w:pPr>
        <w:spacing w:line="22" w:lineRule="atLeast"/>
        <w:jc w:val="both"/>
        <w:rPr>
          <w:rFonts w:ascii="Times New Roman" w:hAnsi="Times New Roman"/>
          <w:color w:val="000000"/>
          <w:shd w:val="clear" w:color="auto" w:fill="FFFFFF"/>
        </w:rPr>
      </w:pPr>
      <w:r w:rsidRPr="00F26EB9">
        <w:rPr>
          <w:rFonts w:ascii="Times New Roman" w:hAnsi="Times New Roman"/>
          <w:color w:val="000000"/>
          <w:shd w:val="clear" w:color="auto" w:fill="FFFFFF"/>
        </w:rPr>
        <w:t xml:space="preserve">Aktaş, O. (2014), </w:t>
      </w:r>
      <w:r w:rsidRPr="00F26EB9">
        <w:rPr>
          <w:rFonts w:ascii="Times New Roman" w:hAnsi="Times New Roman"/>
          <w:i/>
          <w:iCs/>
          <w:color w:val="212529"/>
          <w:shd w:val="clear" w:color="auto" w:fill="FFFFFF"/>
        </w:rPr>
        <w:t xml:space="preserve">Sürdürülebilir Kent Modeli Olarak Urfa Halfeti'xxnin Yavaş Şehir (Citta Slow) Hareketi Bağlamında Değerlendirilmesi </w:t>
      </w:r>
      <w:r w:rsidRPr="00F26EB9">
        <w:rPr>
          <w:rFonts w:ascii="Times New Roman" w:hAnsi="Times New Roman"/>
          <w:color w:val="212529"/>
          <w:shd w:val="clear" w:color="auto" w:fill="FFFFFF"/>
        </w:rPr>
        <w:t>Ankara: Emek Ofset Yayınları.</w:t>
      </w:r>
    </w:p>
    <w:p w:rsidR="00E63AE0" w:rsidRPr="00F26EB9" w:rsidRDefault="00E63AE0" w:rsidP="00A2286F">
      <w:pPr>
        <w:spacing w:line="22" w:lineRule="atLeast"/>
        <w:jc w:val="both"/>
        <w:rPr>
          <w:rFonts w:ascii="Times New Roman" w:hAnsi="Times New Roman"/>
          <w:color w:val="000000"/>
          <w:shd w:val="clear" w:color="auto" w:fill="FFFFFF"/>
        </w:rPr>
      </w:pPr>
      <w:r w:rsidRPr="00F26EB9">
        <w:rPr>
          <w:rFonts w:ascii="Times New Roman" w:hAnsi="Times New Roman"/>
          <w:color w:val="000000"/>
          <w:shd w:val="clear" w:color="auto" w:fill="FFFFFF"/>
        </w:rPr>
        <w:t xml:space="preserve">Callenbach, E. (2012), </w:t>
      </w:r>
      <w:r w:rsidRPr="00F26EB9">
        <w:rPr>
          <w:rFonts w:ascii="Times New Roman" w:hAnsi="Times New Roman"/>
          <w:i/>
          <w:iCs/>
          <w:color w:val="000000"/>
          <w:shd w:val="clear" w:color="auto" w:fill="FFFFFF"/>
        </w:rPr>
        <w:t>Ekolojik Cep Rehberi Kitabı</w:t>
      </w:r>
      <w:r w:rsidRPr="00F26EB9">
        <w:rPr>
          <w:rFonts w:ascii="Times New Roman" w:hAnsi="Times New Roman"/>
          <w:color w:val="000000"/>
          <w:shd w:val="clear" w:color="auto" w:fill="FFFFFF"/>
        </w:rPr>
        <w:t>, Muğla: Sinek Sekiz Yayınevi</w:t>
      </w:r>
    </w:p>
    <w:p w:rsidR="00E63AE0" w:rsidRPr="00F26EB9" w:rsidRDefault="00E63AE0" w:rsidP="00A2286F">
      <w:pPr>
        <w:spacing w:line="22" w:lineRule="atLeast"/>
        <w:jc w:val="both"/>
        <w:rPr>
          <w:rFonts w:ascii="Times New Roman" w:hAnsi="Times New Roman"/>
          <w:color w:val="000000"/>
        </w:rPr>
      </w:pPr>
      <w:r w:rsidRPr="00F26EB9">
        <w:rPr>
          <w:rFonts w:ascii="Times New Roman" w:hAnsi="Times New Roman"/>
        </w:rPr>
        <w:t xml:space="preserve">Ergun, P. (2004), </w:t>
      </w:r>
      <w:r w:rsidRPr="00F26EB9">
        <w:rPr>
          <w:rFonts w:ascii="Times New Roman" w:hAnsi="Times New Roman"/>
          <w:i/>
          <w:iCs/>
        </w:rPr>
        <w:t>Türk Kültüründe Ağaç Kültü</w:t>
      </w:r>
      <w:r w:rsidRPr="00F26EB9">
        <w:rPr>
          <w:rFonts w:ascii="Times New Roman" w:hAnsi="Times New Roman"/>
        </w:rPr>
        <w:t>. Ankara: Atatürk Kültür Merkezi Başkanlığı Yayınları.</w:t>
      </w:r>
    </w:p>
    <w:p w:rsidR="00E63AE0" w:rsidRPr="00F26EB9" w:rsidRDefault="00E63AE0" w:rsidP="00A2286F">
      <w:pPr>
        <w:spacing w:line="22" w:lineRule="atLeast"/>
        <w:jc w:val="both"/>
        <w:rPr>
          <w:rFonts w:ascii="Times New Roman" w:hAnsi="Times New Roman"/>
          <w:color w:val="000000"/>
        </w:rPr>
      </w:pPr>
      <w:r w:rsidRPr="00F26EB9">
        <w:rPr>
          <w:rFonts w:ascii="Times New Roman" w:hAnsi="Times New Roman"/>
          <w:color w:val="000000"/>
        </w:rPr>
        <w:t xml:space="preserve">Tağmat, T. (2006), </w:t>
      </w:r>
      <w:r w:rsidRPr="00F26EB9">
        <w:rPr>
          <w:rFonts w:ascii="Times New Roman" w:hAnsi="Times New Roman"/>
          <w:i/>
          <w:iCs/>
          <w:color w:val="000000"/>
        </w:rPr>
        <w:t>Avrupa’da Sürdürülebilir Topluluklar Üzerine Bristol Mutabakatı</w:t>
      </w:r>
      <w:r w:rsidRPr="00F26EB9">
        <w:rPr>
          <w:rFonts w:ascii="Times New Roman" w:hAnsi="Times New Roman"/>
          <w:color w:val="000000"/>
        </w:rPr>
        <w:t>, Mimarlar Odası</w:t>
      </w:r>
    </w:p>
    <w:p w:rsidR="00E63AE0" w:rsidRPr="00F26EB9" w:rsidRDefault="00E63AE0" w:rsidP="00A2286F">
      <w:pPr>
        <w:spacing w:line="22" w:lineRule="atLeast"/>
        <w:jc w:val="both"/>
        <w:rPr>
          <w:rFonts w:ascii="Times New Roman" w:hAnsi="Times New Roman"/>
        </w:rPr>
      </w:pPr>
      <w:r w:rsidRPr="00F26EB9">
        <w:rPr>
          <w:rFonts w:ascii="Times New Roman" w:hAnsi="Times New Roman"/>
        </w:rPr>
        <w:t xml:space="preserve">Roux, J. P. (2011), </w:t>
      </w:r>
      <w:r w:rsidRPr="00F26EB9">
        <w:rPr>
          <w:rFonts w:ascii="Times New Roman" w:hAnsi="Times New Roman"/>
          <w:i/>
          <w:iCs/>
        </w:rPr>
        <w:t>Türklerin ve Moğolların Eski Dini</w:t>
      </w:r>
      <w:r w:rsidRPr="00F26EB9">
        <w:rPr>
          <w:rFonts w:ascii="Times New Roman" w:hAnsi="Times New Roman"/>
        </w:rPr>
        <w:t>. (A. Kazancıgil, Çev.) İstanbul: Kabalcı.</w:t>
      </w:r>
    </w:p>
    <w:p w:rsidR="00E63AE0" w:rsidRPr="00F26EB9" w:rsidRDefault="00E63AE0" w:rsidP="00A2286F">
      <w:pPr>
        <w:spacing w:line="22" w:lineRule="atLeast"/>
        <w:jc w:val="both"/>
        <w:rPr>
          <w:rFonts w:ascii="Times New Roman" w:hAnsi="Times New Roman"/>
        </w:rPr>
      </w:pPr>
      <w:r w:rsidRPr="00F26EB9">
        <w:rPr>
          <w:rFonts w:ascii="Times New Roman" w:hAnsi="Times New Roman"/>
        </w:rPr>
        <w:t xml:space="preserve">Frye, R. N. (2009), </w:t>
      </w:r>
      <w:r w:rsidRPr="00F26EB9">
        <w:rPr>
          <w:rFonts w:ascii="Times New Roman" w:hAnsi="Times New Roman"/>
          <w:i/>
          <w:iCs/>
        </w:rPr>
        <w:t>Antik Çağlardan Türklerin Yayılmasına Orta Asya Mirası</w:t>
      </w:r>
      <w:r w:rsidRPr="00F26EB9">
        <w:rPr>
          <w:rFonts w:ascii="Times New Roman" w:hAnsi="Times New Roman"/>
        </w:rPr>
        <w:t>. (Çev. Füsun Tayanç-Tunç Tayanç), Ankara: Arkadaş Yayınları.</w:t>
      </w:r>
    </w:p>
    <w:p w:rsidR="00E63AE0" w:rsidRPr="00F26EB9" w:rsidRDefault="00E63AE0" w:rsidP="00A2286F">
      <w:pPr>
        <w:spacing w:line="22" w:lineRule="atLeast"/>
        <w:jc w:val="both"/>
        <w:rPr>
          <w:rFonts w:ascii="Times New Roman" w:hAnsi="Times New Roman"/>
        </w:rPr>
      </w:pPr>
      <w:r w:rsidRPr="00F26EB9">
        <w:rPr>
          <w:rFonts w:ascii="Times New Roman" w:hAnsi="Times New Roman"/>
        </w:rPr>
        <w:lastRenderedPageBreak/>
        <w:t xml:space="preserve">Ögel, B. (2000), </w:t>
      </w:r>
      <w:r w:rsidRPr="00F26EB9">
        <w:rPr>
          <w:rFonts w:ascii="Times New Roman" w:hAnsi="Times New Roman"/>
          <w:i/>
          <w:iCs/>
        </w:rPr>
        <w:t>Türk Kültür Tarihine Giriş</w:t>
      </w:r>
      <w:r w:rsidRPr="00F26EB9">
        <w:rPr>
          <w:rFonts w:ascii="Times New Roman" w:hAnsi="Times New Roman"/>
        </w:rPr>
        <w:t>. C. I, Ankara: Kültür Bakanlığı Yayınları.</w:t>
      </w:r>
    </w:p>
    <w:p w:rsidR="00E63AE0" w:rsidRPr="00F26EB9" w:rsidRDefault="00E63AE0" w:rsidP="00A2286F">
      <w:pPr>
        <w:spacing w:line="22" w:lineRule="atLeast"/>
        <w:jc w:val="both"/>
        <w:rPr>
          <w:rFonts w:ascii="Times New Roman" w:hAnsi="Times New Roman"/>
        </w:rPr>
      </w:pPr>
      <w:r w:rsidRPr="00F26EB9">
        <w:rPr>
          <w:rFonts w:ascii="Times New Roman" w:hAnsi="Times New Roman"/>
        </w:rPr>
        <w:t xml:space="preserve">Koca, S. (2002), </w:t>
      </w:r>
      <w:r w:rsidRPr="00F26EB9">
        <w:rPr>
          <w:rFonts w:ascii="Times New Roman" w:hAnsi="Times New Roman"/>
          <w:i/>
          <w:iCs/>
        </w:rPr>
        <w:t>Eski Türklerde Sosyal ve Ekonomik Hayat</w:t>
      </w:r>
      <w:r w:rsidRPr="00F26EB9">
        <w:rPr>
          <w:rFonts w:ascii="Times New Roman" w:hAnsi="Times New Roman"/>
        </w:rPr>
        <w:t>, Türkler, Cilt III, Ankara: Yeni Türkiye Yayınları.</w:t>
      </w:r>
    </w:p>
    <w:p w:rsidR="00E63AE0" w:rsidRPr="00F26EB9" w:rsidRDefault="00E63AE0" w:rsidP="00A2286F">
      <w:pPr>
        <w:spacing w:line="22" w:lineRule="atLeast"/>
        <w:jc w:val="both"/>
        <w:rPr>
          <w:rFonts w:ascii="Times New Roman" w:hAnsi="Times New Roman"/>
        </w:rPr>
      </w:pPr>
      <w:r w:rsidRPr="00F26EB9">
        <w:rPr>
          <w:rFonts w:ascii="Times New Roman" w:hAnsi="Times New Roman"/>
        </w:rPr>
        <w:t xml:space="preserve">Kafesoğlu, İ. (1993), </w:t>
      </w:r>
      <w:r w:rsidRPr="00F26EB9">
        <w:rPr>
          <w:rFonts w:ascii="Times New Roman" w:hAnsi="Times New Roman"/>
          <w:i/>
          <w:iCs/>
        </w:rPr>
        <w:t>Türk Milli Kültürü</w:t>
      </w:r>
      <w:r w:rsidRPr="00F26EB9">
        <w:rPr>
          <w:rFonts w:ascii="Times New Roman" w:hAnsi="Times New Roman"/>
        </w:rPr>
        <w:t>, 10. Baskı, İstanbul: Boğaziçi Yayınları.</w:t>
      </w:r>
    </w:p>
    <w:p w:rsidR="00E63AE0" w:rsidRPr="00F26EB9" w:rsidRDefault="00E63AE0" w:rsidP="00A2286F">
      <w:pPr>
        <w:spacing w:line="22" w:lineRule="atLeast"/>
        <w:jc w:val="both"/>
        <w:rPr>
          <w:rFonts w:ascii="Times New Roman" w:hAnsi="Times New Roman"/>
          <w:color w:val="000000"/>
        </w:rPr>
      </w:pPr>
      <w:r w:rsidRPr="00F26EB9">
        <w:rPr>
          <w:rFonts w:ascii="Times New Roman" w:hAnsi="Times New Roman"/>
        </w:rPr>
        <w:t xml:space="preserve">Mandaloğlu, M. (2013), </w:t>
      </w:r>
      <w:r w:rsidRPr="00F26EB9">
        <w:rPr>
          <w:rFonts w:ascii="Times New Roman" w:hAnsi="Times New Roman"/>
          <w:i/>
          <w:iCs/>
        </w:rPr>
        <w:t>İnsan ve Toplum Bilimleri Araştırmaları Dergisi</w:t>
      </w:r>
      <w:r w:rsidRPr="00F26EB9">
        <w:rPr>
          <w:rFonts w:ascii="Times New Roman" w:hAnsi="Times New Roman"/>
        </w:rPr>
        <w:t>, Cilt 2, Sayı 2.</w:t>
      </w:r>
    </w:p>
    <w:p w:rsidR="006E3BA1" w:rsidRPr="006E3BA1" w:rsidRDefault="006E3BA1" w:rsidP="00A2286F">
      <w:pPr>
        <w:autoSpaceDE w:val="0"/>
        <w:autoSpaceDN w:val="0"/>
        <w:adjustRightInd w:val="0"/>
        <w:spacing w:line="22" w:lineRule="atLeast"/>
        <w:ind w:firstLine="0"/>
        <w:jc w:val="both"/>
        <w:rPr>
          <w:rFonts w:ascii="Times New Roman" w:hAnsi="Times New Roman"/>
          <w:color w:val="000000"/>
        </w:rPr>
      </w:pPr>
    </w:p>
    <w:p w:rsidR="006E3BA1" w:rsidRDefault="006E3BA1" w:rsidP="00A2286F">
      <w:pPr>
        <w:spacing w:afterLines="120" w:after="288" w:line="22" w:lineRule="atLeast"/>
        <w:ind w:firstLine="0"/>
        <w:jc w:val="both"/>
        <w:rPr>
          <w:rFonts w:ascii="Times New Roman" w:hAnsi="Times New Roman"/>
          <w:b/>
          <w:lang w:val="fr-FR"/>
        </w:rPr>
      </w:pPr>
    </w:p>
    <w:p w:rsidR="006E3BA1" w:rsidRPr="006E3BA1" w:rsidRDefault="006E3BA1" w:rsidP="00A2286F">
      <w:pPr>
        <w:spacing w:afterLines="120" w:after="288" w:line="22" w:lineRule="atLeast"/>
        <w:ind w:firstLine="0"/>
        <w:jc w:val="both"/>
        <w:rPr>
          <w:rFonts w:ascii="Times New Roman" w:hAnsi="Times New Roman"/>
          <w:b/>
          <w:lang w:val="fr-FR"/>
        </w:rPr>
      </w:pPr>
    </w:p>
    <w:p w:rsidR="006E3BA1" w:rsidRPr="006E3BA1" w:rsidRDefault="006E3BA1" w:rsidP="00A2286F">
      <w:pPr>
        <w:autoSpaceDE w:val="0"/>
        <w:autoSpaceDN w:val="0"/>
        <w:adjustRightInd w:val="0"/>
        <w:spacing w:line="22" w:lineRule="atLeast"/>
        <w:ind w:left="360" w:firstLine="0"/>
        <w:jc w:val="both"/>
        <w:rPr>
          <w:rFonts w:ascii="Times New Roman" w:hAnsi="Times New Roman"/>
          <w:color w:val="000000"/>
        </w:rPr>
      </w:pPr>
    </w:p>
    <w:p w:rsidR="001913A6" w:rsidRPr="001913A6" w:rsidRDefault="001913A6" w:rsidP="00A2286F">
      <w:pPr>
        <w:autoSpaceDE w:val="0"/>
        <w:autoSpaceDN w:val="0"/>
        <w:adjustRightInd w:val="0"/>
        <w:spacing w:line="22" w:lineRule="atLeast"/>
        <w:jc w:val="both"/>
        <w:rPr>
          <w:rFonts w:ascii="Times New Roman" w:hAnsi="Times New Roman"/>
          <w:color w:val="000000"/>
        </w:rPr>
      </w:pPr>
    </w:p>
    <w:p w:rsidR="001913A6" w:rsidRPr="001913A6" w:rsidRDefault="001913A6" w:rsidP="00A2286F">
      <w:pPr>
        <w:autoSpaceDE w:val="0"/>
        <w:autoSpaceDN w:val="0"/>
        <w:adjustRightInd w:val="0"/>
        <w:spacing w:line="22" w:lineRule="atLeast"/>
        <w:jc w:val="both"/>
        <w:rPr>
          <w:rFonts w:ascii="Times New Roman" w:hAnsi="Times New Roman"/>
          <w:color w:val="000000"/>
        </w:rPr>
      </w:pPr>
    </w:p>
    <w:p w:rsidR="00944BD5" w:rsidRPr="00F26EB9" w:rsidRDefault="00944BD5" w:rsidP="00A2286F">
      <w:pPr>
        <w:autoSpaceDE w:val="0"/>
        <w:autoSpaceDN w:val="0"/>
        <w:adjustRightInd w:val="0"/>
        <w:spacing w:line="22" w:lineRule="atLeast"/>
        <w:jc w:val="both"/>
        <w:rPr>
          <w:rFonts w:ascii="Times New Roman" w:hAnsi="Times New Roman"/>
          <w:color w:val="000000"/>
        </w:rPr>
      </w:pPr>
    </w:p>
    <w:p w:rsidR="00944BD5" w:rsidRPr="00C33F76" w:rsidRDefault="00944BD5" w:rsidP="00A2286F">
      <w:pPr>
        <w:tabs>
          <w:tab w:val="left" w:pos="284"/>
        </w:tabs>
        <w:spacing w:line="22" w:lineRule="atLeast"/>
        <w:jc w:val="both"/>
        <w:rPr>
          <w:rFonts w:ascii="Times New Roman" w:hAnsi="Times New Roman"/>
          <w:b/>
        </w:rPr>
      </w:pPr>
    </w:p>
    <w:sectPr w:rsidR="00944BD5" w:rsidRPr="00C33F76" w:rsidSect="00C33F76">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4D5"/>
    <w:multiLevelType w:val="hybridMultilevel"/>
    <w:tmpl w:val="E5AA3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557E36"/>
    <w:multiLevelType w:val="hybridMultilevel"/>
    <w:tmpl w:val="7E7CF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30574E"/>
    <w:multiLevelType w:val="hybridMultilevel"/>
    <w:tmpl w:val="17904E0A"/>
    <w:lvl w:ilvl="0" w:tplc="50D4287E">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60E43A5"/>
    <w:multiLevelType w:val="hybridMultilevel"/>
    <w:tmpl w:val="B67E9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01"/>
    <w:rsid w:val="00144C18"/>
    <w:rsid w:val="001913A6"/>
    <w:rsid w:val="003F2501"/>
    <w:rsid w:val="00491E5D"/>
    <w:rsid w:val="004E40C0"/>
    <w:rsid w:val="006E3BA1"/>
    <w:rsid w:val="008E6062"/>
    <w:rsid w:val="00944BD5"/>
    <w:rsid w:val="00A2286F"/>
    <w:rsid w:val="00C33F76"/>
    <w:rsid w:val="00D929A8"/>
    <w:rsid w:val="00DC29CD"/>
    <w:rsid w:val="00E63AE0"/>
    <w:rsid w:val="00F51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1E21"/>
  <w15:chartTrackingRefBased/>
  <w15:docId w15:val="{7046DCBF-AFFE-4F77-BAAD-7DC7AFDE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3A6"/>
    <w:pPr>
      <w:spacing w:after="120" w:line="264" w:lineRule="auto"/>
      <w:ind w:firstLine="567"/>
    </w:pPr>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13A6"/>
    <w:pPr>
      <w:spacing w:after="0" w:line="360" w:lineRule="auto"/>
      <w:ind w:left="720"/>
      <w:contextualSpacing/>
      <w:jc w:val="both"/>
    </w:pPr>
    <w:rPr>
      <w:lang w:val="tr-TR"/>
    </w:rPr>
  </w:style>
  <w:style w:type="paragraph" w:customStyle="1" w:styleId="a">
    <w:basedOn w:val="Normal"/>
    <w:next w:val="Normal"/>
    <w:qFormat/>
    <w:rsid w:val="006E3BA1"/>
    <w:pPr>
      <w:spacing w:after="60" w:line="240" w:lineRule="auto"/>
      <w:ind w:firstLine="0"/>
      <w:jc w:val="center"/>
      <w:outlineLvl w:val="1"/>
    </w:pPr>
    <w:rPr>
      <w:rFonts w:ascii="Cambria" w:eastAsia="Times New Roman" w:hAnsi="Cambria"/>
      <w:sz w:val="24"/>
      <w:szCs w:val="24"/>
    </w:rPr>
  </w:style>
  <w:style w:type="character" w:customStyle="1" w:styleId="AltyazChar1">
    <w:name w:val="Altyazı Char1"/>
    <w:link w:val="Altyaz"/>
    <w:rsid w:val="006E3BA1"/>
    <w:rPr>
      <w:rFonts w:ascii="Cambria" w:eastAsia="Times New Roman" w:hAnsi="Cambria"/>
      <w:sz w:val="24"/>
      <w:szCs w:val="24"/>
      <w:lang w:val="en-US" w:eastAsia="en-US"/>
    </w:rPr>
  </w:style>
  <w:style w:type="paragraph" w:styleId="Altyaz">
    <w:name w:val="Subtitle"/>
    <w:basedOn w:val="Normal"/>
    <w:next w:val="Normal"/>
    <w:link w:val="AltyazChar1"/>
    <w:qFormat/>
    <w:rsid w:val="006E3BA1"/>
    <w:pPr>
      <w:numPr>
        <w:ilvl w:val="1"/>
      </w:numPr>
      <w:spacing w:after="160"/>
      <w:ind w:firstLine="567"/>
    </w:pPr>
    <w:rPr>
      <w:rFonts w:ascii="Cambria" w:eastAsia="Times New Roman" w:hAnsi="Cambria" w:cstheme="minorBidi"/>
      <w:sz w:val="24"/>
      <w:szCs w:val="24"/>
    </w:rPr>
  </w:style>
  <w:style w:type="character" w:customStyle="1" w:styleId="AltyazChar">
    <w:name w:val="Altyazı Char"/>
    <w:basedOn w:val="VarsaylanParagrafYazTipi"/>
    <w:uiPriority w:val="11"/>
    <w:rsid w:val="006E3BA1"/>
    <w:rPr>
      <w:rFonts w:eastAsiaTheme="minorEastAsia"/>
      <w:color w:val="5A5A5A" w:themeColor="text1" w:themeTint="A5"/>
      <w:spacing w:val="15"/>
      <w:lang w:val="en-US"/>
    </w:rPr>
  </w:style>
  <w:style w:type="paragraph" w:styleId="AralkYok">
    <w:name w:val="No Spacing"/>
    <w:uiPriority w:val="1"/>
    <w:qFormat/>
    <w:rsid w:val="006E3BA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5FB2-9DD5-4FD2-A0B3-35542891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2012</Words>
  <Characters>11473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10</cp:revision>
  <dcterms:created xsi:type="dcterms:W3CDTF">2023-05-18T05:30:00Z</dcterms:created>
  <dcterms:modified xsi:type="dcterms:W3CDTF">2023-05-18T07:49:00Z</dcterms:modified>
</cp:coreProperties>
</file>